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C5D0" w14:textId="77777777" w:rsidR="0096773D" w:rsidRPr="008518F5" w:rsidRDefault="0096773D" w:rsidP="0096773D">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A24B964" w14:textId="77777777" w:rsidR="0096773D" w:rsidRPr="008518F5" w:rsidRDefault="0096773D" w:rsidP="0096773D">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6DE922B1" w14:textId="77777777" w:rsidR="0096773D" w:rsidRPr="008518F5" w:rsidRDefault="0096773D" w:rsidP="0096773D">
      <w:pPr>
        <w:ind w:right="-35"/>
        <w:rPr>
          <w:rFonts w:ascii="Bookman Old Style" w:hAnsi="Bookman Old Style" w:cs="Arial"/>
          <w:b/>
          <w:sz w:val="28"/>
          <w:szCs w:val="28"/>
          <w:lang w:val="el-GR"/>
        </w:rPr>
      </w:pPr>
    </w:p>
    <w:p w14:paraId="23E4D9C3" w14:textId="77777777" w:rsidR="0096773D" w:rsidRPr="008518F5" w:rsidRDefault="0096773D" w:rsidP="0096773D">
      <w:pPr>
        <w:ind w:right="-35"/>
        <w:jc w:val="right"/>
        <w:rPr>
          <w:rFonts w:ascii="Bookman Old Style" w:hAnsi="Bookman Old Style" w:cs="Arial"/>
          <w:b/>
          <w:i/>
          <w:iCs/>
          <w:sz w:val="28"/>
          <w:szCs w:val="28"/>
          <w:lang w:val="el-GR"/>
        </w:rPr>
      </w:pPr>
    </w:p>
    <w:p w14:paraId="1D82D240" w14:textId="77777777" w:rsidR="0096773D" w:rsidRPr="008518F5" w:rsidRDefault="0096773D" w:rsidP="0096773D">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Έφεση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Pr>
          <w:rFonts w:ascii="Bookman Old Style" w:hAnsi="Bookman Old Style" w:cs="Arial"/>
          <w:b/>
          <w:i/>
          <w:iCs/>
          <w:sz w:val="28"/>
          <w:szCs w:val="28"/>
          <w:lang w:val="en-US"/>
        </w:rPr>
        <w:t>E</w:t>
      </w:r>
      <w:r w:rsidRPr="008518F5">
        <w:rPr>
          <w:rFonts w:ascii="Bookman Old Style" w:hAnsi="Bookman Old Style" w:cs="Arial"/>
          <w:b/>
          <w:i/>
          <w:iCs/>
          <w:sz w:val="28"/>
          <w:szCs w:val="28"/>
          <w:lang w:val="el-GR"/>
        </w:rPr>
        <w:t>1</w:t>
      </w:r>
      <w:r w:rsidRPr="00953A35">
        <w:rPr>
          <w:rFonts w:ascii="Bookman Old Style" w:hAnsi="Bookman Old Style" w:cs="Arial"/>
          <w:b/>
          <w:i/>
          <w:iCs/>
          <w:sz w:val="28"/>
          <w:szCs w:val="28"/>
          <w:lang w:val="el-GR"/>
        </w:rPr>
        <w:t>94</w:t>
      </w:r>
      <w:r w:rsidRPr="008518F5">
        <w:rPr>
          <w:rFonts w:ascii="Bookman Old Style" w:hAnsi="Bookman Old Style" w:cs="Arial"/>
          <w:b/>
          <w:i/>
          <w:iCs/>
          <w:sz w:val="28"/>
          <w:szCs w:val="28"/>
          <w:lang w:val="el-GR"/>
        </w:rPr>
        <w:t>/201</w:t>
      </w:r>
      <w:r w:rsidRPr="00953A35">
        <w:rPr>
          <w:rFonts w:ascii="Bookman Old Style" w:hAnsi="Bookman Old Style" w:cs="Arial"/>
          <w:b/>
          <w:i/>
          <w:iCs/>
          <w:sz w:val="28"/>
          <w:szCs w:val="28"/>
          <w:lang w:val="el-GR"/>
        </w:rPr>
        <w:t>7</w:t>
      </w:r>
      <w:r w:rsidRPr="008518F5">
        <w:rPr>
          <w:rFonts w:ascii="Bookman Old Style" w:hAnsi="Bookman Old Style" w:cs="Arial"/>
          <w:b/>
          <w:i/>
          <w:iCs/>
          <w:sz w:val="28"/>
          <w:szCs w:val="28"/>
          <w:lang w:val="el-GR"/>
        </w:rPr>
        <w:t>)</w:t>
      </w:r>
    </w:p>
    <w:p w14:paraId="3EC8B4DF" w14:textId="77777777" w:rsidR="0096773D" w:rsidRPr="008518F5" w:rsidRDefault="0096773D" w:rsidP="0096773D">
      <w:pPr>
        <w:ind w:right="-35"/>
        <w:jc w:val="center"/>
        <w:rPr>
          <w:rFonts w:ascii="Bookman Old Style" w:hAnsi="Bookman Old Style" w:cs="Arial"/>
          <w:i/>
          <w:iCs/>
          <w:sz w:val="28"/>
          <w:szCs w:val="28"/>
          <w:lang w:val="el-GR"/>
        </w:rPr>
      </w:pPr>
    </w:p>
    <w:p w14:paraId="34CF9DC3" w14:textId="77777777" w:rsidR="0096773D" w:rsidRPr="008518F5" w:rsidRDefault="0096773D" w:rsidP="0096773D">
      <w:pPr>
        <w:ind w:right="-35"/>
        <w:jc w:val="center"/>
        <w:rPr>
          <w:rFonts w:ascii="Bookman Old Style" w:hAnsi="Bookman Old Style" w:cs="Arial"/>
          <w:b/>
          <w:sz w:val="28"/>
          <w:szCs w:val="28"/>
          <w:lang w:val="el-GR"/>
        </w:rPr>
      </w:pPr>
    </w:p>
    <w:p w14:paraId="1BE41803" w14:textId="0E619BFB" w:rsidR="0096773D" w:rsidRPr="008518F5" w:rsidRDefault="00777355" w:rsidP="0096773D">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7 </w:t>
      </w:r>
      <w:r w:rsidR="0096773D">
        <w:rPr>
          <w:rFonts w:ascii="Bookman Old Style" w:hAnsi="Bookman Old Style" w:cs="Arial"/>
          <w:b/>
          <w:sz w:val="28"/>
          <w:szCs w:val="28"/>
          <w:lang w:val="el-GR"/>
        </w:rPr>
        <w:t>Νοεμβρίου,</w:t>
      </w:r>
      <w:r w:rsidR="0096773D" w:rsidRPr="008518F5">
        <w:rPr>
          <w:rFonts w:ascii="Bookman Old Style" w:hAnsi="Bookman Old Style" w:cs="Arial"/>
          <w:b/>
          <w:sz w:val="28"/>
          <w:szCs w:val="28"/>
          <w:lang w:val="el-GR"/>
        </w:rPr>
        <w:t xml:space="preserve"> 2023</w:t>
      </w:r>
    </w:p>
    <w:p w14:paraId="1879DA39" w14:textId="77777777" w:rsidR="0096773D" w:rsidRPr="008518F5" w:rsidRDefault="0096773D" w:rsidP="0096773D">
      <w:pPr>
        <w:ind w:right="-35"/>
        <w:jc w:val="center"/>
        <w:rPr>
          <w:rFonts w:ascii="Bookman Old Style" w:hAnsi="Bookman Old Style" w:cs="Arial"/>
          <w:b/>
          <w:sz w:val="28"/>
          <w:szCs w:val="28"/>
          <w:lang w:val="el-GR"/>
        </w:rPr>
      </w:pPr>
    </w:p>
    <w:p w14:paraId="15B579DA" w14:textId="77777777" w:rsidR="0096773D" w:rsidRDefault="0096773D" w:rsidP="0096773D">
      <w:pPr>
        <w:ind w:right="-35"/>
        <w:jc w:val="center"/>
        <w:rPr>
          <w:rFonts w:ascii="Bookman Old Style" w:hAnsi="Bookman Old Style" w:cs="Arial"/>
          <w:b/>
          <w:sz w:val="28"/>
          <w:szCs w:val="28"/>
          <w:lang w:val="el-GR"/>
        </w:rPr>
      </w:pPr>
    </w:p>
    <w:p w14:paraId="6E105C0F" w14:textId="77777777" w:rsidR="0096773D" w:rsidRPr="008518F5" w:rsidRDefault="0096773D" w:rsidP="0096773D">
      <w:pPr>
        <w:ind w:right="-35"/>
        <w:jc w:val="center"/>
        <w:rPr>
          <w:rFonts w:ascii="Bookman Old Style" w:hAnsi="Bookman Old Style" w:cs="Arial"/>
          <w:b/>
          <w:sz w:val="28"/>
          <w:szCs w:val="28"/>
          <w:lang w:val="el-GR"/>
        </w:rPr>
      </w:pPr>
    </w:p>
    <w:p w14:paraId="04A8B0AD" w14:textId="77777777" w:rsidR="0096773D" w:rsidRPr="008518F5" w:rsidRDefault="0096773D" w:rsidP="0096773D">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Pr>
          <w:rFonts w:ascii="Bookman Old Style" w:hAnsi="Bookman Old Style" w:cs="Arial"/>
          <w:b/>
          <w:sz w:val="28"/>
          <w:szCs w:val="28"/>
          <w:lang w:val="el-GR"/>
        </w:rPr>
        <w:t>ΜΑΛΑΧΤΟΣ</w:t>
      </w:r>
      <w:r w:rsidRPr="008518F5">
        <w:rPr>
          <w:rFonts w:ascii="Bookman Old Style" w:hAnsi="Bookman Old Style" w:cs="Arial"/>
          <w:b/>
          <w:sz w:val="28"/>
          <w:szCs w:val="28"/>
          <w:lang w:val="el-GR"/>
        </w:rPr>
        <w:t>, ΔΗΜΗΤΡΙΑΔΟΥ-ΑΝΔΡΕΟΥ,</w:t>
      </w:r>
      <w:r>
        <w:rPr>
          <w:rFonts w:ascii="Bookman Old Style" w:hAnsi="Bookman Old Style" w:cs="Arial"/>
          <w:b/>
          <w:sz w:val="28"/>
          <w:szCs w:val="28"/>
          <w:lang w:val="el-GR"/>
        </w:rPr>
        <w:t xml:space="preserve"> ΙΩΑΝΝΙΔΗΣ,</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568E8ED3" w14:textId="77777777" w:rsidR="0096773D" w:rsidRPr="008518F5" w:rsidRDefault="0096773D" w:rsidP="0096773D">
      <w:pPr>
        <w:ind w:right="-35"/>
        <w:jc w:val="center"/>
        <w:rPr>
          <w:rFonts w:ascii="Bookman Old Style" w:hAnsi="Bookman Old Style" w:cs="Arial"/>
          <w:sz w:val="28"/>
          <w:szCs w:val="28"/>
          <w:lang w:val="el-GR"/>
        </w:rPr>
      </w:pPr>
    </w:p>
    <w:p w14:paraId="360A1469" w14:textId="77777777" w:rsidR="0096773D" w:rsidRPr="008518F5" w:rsidRDefault="0096773D" w:rsidP="0096773D">
      <w:pPr>
        <w:ind w:right="-35"/>
        <w:rPr>
          <w:rFonts w:ascii="Bookman Old Style" w:hAnsi="Bookman Old Style" w:cs="Arial"/>
          <w:sz w:val="28"/>
          <w:szCs w:val="28"/>
          <w:u w:val="single"/>
          <w:lang w:val="el-GR"/>
        </w:rPr>
      </w:pPr>
    </w:p>
    <w:p w14:paraId="3BBDDF3B" w14:textId="77777777" w:rsidR="0096773D" w:rsidRPr="008518F5" w:rsidRDefault="0096773D" w:rsidP="0096773D">
      <w:pPr>
        <w:ind w:right="-35"/>
        <w:rPr>
          <w:rFonts w:ascii="Bookman Old Style" w:hAnsi="Bookman Old Style" w:cs="Arial"/>
          <w:b/>
          <w:sz w:val="28"/>
          <w:szCs w:val="28"/>
          <w:lang w:val="el-GR"/>
        </w:rPr>
      </w:pPr>
    </w:p>
    <w:p w14:paraId="7E29A12A" w14:textId="77777777" w:rsidR="0096773D" w:rsidRPr="008518F5" w:rsidRDefault="0096773D" w:rsidP="0096773D">
      <w:pPr>
        <w:ind w:right="-35"/>
        <w:jc w:val="center"/>
        <w:rPr>
          <w:rFonts w:ascii="Bookman Old Style" w:hAnsi="Bookman Old Style" w:cs="Arial"/>
          <w:sz w:val="28"/>
          <w:szCs w:val="28"/>
          <w:lang w:val="el-GR"/>
        </w:rPr>
      </w:pPr>
      <w:r>
        <w:rPr>
          <w:rFonts w:ascii="Bookman Old Style" w:hAnsi="Bookman Old Style" w:cs="Arial"/>
          <w:sz w:val="28"/>
          <w:szCs w:val="28"/>
          <w:lang w:val="el-GR"/>
        </w:rPr>
        <w:t>ΤΡΑΠΕΖΑ ΚΥΠΡΟΥ ΔΗΜΟΣΙΑ ΕΤΑΙΡΕΙΑ ΛΤΔ</w:t>
      </w:r>
      <w:r w:rsidRPr="008518F5">
        <w:rPr>
          <w:rFonts w:ascii="Bookman Old Style" w:hAnsi="Bookman Old Style" w:cs="Arial"/>
          <w:sz w:val="28"/>
          <w:szCs w:val="28"/>
          <w:lang w:val="el-GR"/>
        </w:rPr>
        <w:t>,</w:t>
      </w:r>
    </w:p>
    <w:p w14:paraId="1E18B415" w14:textId="77777777" w:rsidR="0096773D" w:rsidRDefault="0096773D" w:rsidP="0096773D">
      <w:pPr>
        <w:ind w:right="-35"/>
        <w:jc w:val="center"/>
        <w:rPr>
          <w:rFonts w:ascii="Bookman Old Style" w:hAnsi="Bookman Old Style" w:cs="Arial"/>
          <w:sz w:val="28"/>
          <w:szCs w:val="28"/>
          <w:lang w:val="el-GR"/>
        </w:rPr>
      </w:pPr>
    </w:p>
    <w:p w14:paraId="34C14BCB" w14:textId="77777777" w:rsidR="0096773D" w:rsidRDefault="0096773D" w:rsidP="0096773D">
      <w:pPr>
        <w:ind w:right="-35"/>
        <w:jc w:val="center"/>
        <w:rPr>
          <w:rFonts w:ascii="Bookman Old Style" w:hAnsi="Bookman Old Style" w:cs="Arial"/>
          <w:sz w:val="28"/>
          <w:szCs w:val="28"/>
          <w:lang w:val="el-GR"/>
        </w:rPr>
      </w:pPr>
    </w:p>
    <w:p w14:paraId="76856D21" w14:textId="77777777" w:rsidR="0096773D" w:rsidRPr="008518F5" w:rsidRDefault="0096773D" w:rsidP="0096773D">
      <w:pPr>
        <w:ind w:right="-35"/>
        <w:jc w:val="center"/>
        <w:rPr>
          <w:rFonts w:ascii="Bookman Old Style" w:hAnsi="Bookman Old Style" w:cs="Arial"/>
          <w:sz w:val="28"/>
          <w:szCs w:val="28"/>
          <w:lang w:val="el-GR"/>
        </w:rPr>
      </w:pPr>
    </w:p>
    <w:p w14:paraId="77B888A4" w14:textId="2B8FE091" w:rsidR="0096773D" w:rsidRPr="008518F5" w:rsidRDefault="0096773D" w:rsidP="0096773D">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w:t>
      </w:r>
      <w:r>
        <w:rPr>
          <w:rFonts w:ascii="Bookman Old Style" w:hAnsi="Bookman Old Style" w:cs="Arial"/>
          <w:i/>
          <w:iCs/>
          <w:sz w:val="28"/>
          <w:szCs w:val="28"/>
          <w:lang w:val="el-GR"/>
        </w:rPr>
        <w:t>ίο</w:t>
      </w:r>
      <w:r w:rsidR="0018265B">
        <w:rPr>
          <w:rFonts w:ascii="Bookman Old Style" w:hAnsi="Bookman Old Style" w:cs="Arial"/>
          <w:i/>
          <w:iCs/>
          <w:sz w:val="28"/>
          <w:szCs w:val="28"/>
          <w:lang w:val="el-GR"/>
        </w:rPr>
        <w:t>υσα</w:t>
      </w:r>
      <w:proofErr w:type="spellEnd"/>
      <w:r w:rsidRPr="008518F5">
        <w:rPr>
          <w:rFonts w:ascii="Bookman Old Style" w:hAnsi="Bookman Old Style" w:cs="Arial"/>
          <w:i/>
          <w:iCs/>
          <w:sz w:val="28"/>
          <w:szCs w:val="28"/>
          <w:lang w:val="el-GR"/>
        </w:rPr>
        <w:t>/Εναγόμεν</w:t>
      </w:r>
      <w:r w:rsidR="0018265B">
        <w:rPr>
          <w:rFonts w:ascii="Bookman Old Style" w:hAnsi="Bookman Old Style" w:cs="Arial"/>
          <w:i/>
          <w:iCs/>
          <w:sz w:val="28"/>
          <w:szCs w:val="28"/>
          <w:lang w:val="el-GR"/>
        </w:rPr>
        <w:t>η</w:t>
      </w:r>
      <w:r w:rsidRPr="008518F5">
        <w:rPr>
          <w:rFonts w:ascii="Bookman Old Style" w:hAnsi="Bookman Old Style" w:cs="Arial"/>
          <w:i/>
          <w:iCs/>
          <w:sz w:val="28"/>
          <w:szCs w:val="28"/>
          <w:lang w:val="el-GR"/>
        </w:rPr>
        <w:t>,</w:t>
      </w:r>
    </w:p>
    <w:p w14:paraId="7D5EECF1" w14:textId="77777777" w:rsidR="0096773D" w:rsidRPr="008518F5" w:rsidRDefault="0096773D" w:rsidP="0096773D">
      <w:pPr>
        <w:ind w:right="-35"/>
        <w:jc w:val="right"/>
        <w:rPr>
          <w:rFonts w:ascii="Bookman Old Style" w:hAnsi="Bookman Old Style" w:cs="Arial"/>
          <w:i/>
          <w:iCs/>
          <w:sz w:val="28"/>
          <w:szCs w:val="28"/>
          <w:lang w:val="el-GR"/>
        </w:rPr>
      </w:pPr>
    </w:p>
    <w:p w14:paraId="3DB4D303" w14:textId="77777777" w:rsidR="0096773D" w:rsidRPr="008518F5" w:rsidRDefault="0096773D" w:rsidP="0096773D">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D0FDE7F" w14:textId="77777777" w:rsidR="0096773D" w:rsidRPr="008518F5" w:rsidRDefault="0096773D" w:rsidP="0096773D">
      <w:pPr>
        <w:ind w:right="-35"/>
        <w:jc w:val="center"/>
        <w:rPr>
          <w:rFonts w:ascii="Bookman Old Style" w:hAnsi="Bookman Old Style" w:cs="Arial"/>
          <w:sz w:val="28"/>
          <w:szCs w:val="28"/>
          <w:lang w:val="el-GR"/>
        </w:rPr>
      </w:pPr>
    </w:p>
    <w:p w14:paraId="44D7A81F" w14:textId="77777777" w:rsidR="0096773D" w:rsidRDefault="0096773D" w:rsidP="0096773D">
      <w:pPr>
        <w:ind w:right="-35"/>
        <w:jc w:val="center"/>
        <w:rPr>
          <w:rFonts w:ascii="Bookman Old Style" w:hAnsi="Bookman Old Style" w:cs="Arial"/>
          <w:sz w:val="28"/>
          <w:szCs w:val="28"/>
          <w:lang w:val="el-GR"/>
        </w:rPr>
      </w:pPr>
    </w:p>
    <w:p w14:paraId="20597C03" w14:textId="77777777" w:rsidR="0096773D" w:rsidRDefault="0096773D" w:rsidP="0096773D">
      <w:pPr>
        <w:ind w:right="-35"/>
        <w:jc w:val="center"/>
        <w:rPr>
          <w:rFonts w:ascii="Bookman Old Style" w:hAnsi="Bookman Old Style" w:cs="Arial"/>
          <w:sz w:val="28"/>
          <w:szCs w:val="28"/>
          <w:lang w:val="el-GR"/>
        </w:rPr>
      </w:pPr>
      <w:r>
        <w:rPr>
          <w:rFonts w:ascii="Bookman Old Style" w:hAnsi="Bookman Old Style" w:cs="Arial"/>
          <w:sz w:val="28"/>
          <w:szCs w:val="28"/>
          <w:lang w:val="el-GR"/>
        </w:rPr>
        <w:t>ΧΡΗΜΑΤΙΣΤΗΡΙΟΥ ΑΞΙΩΝ ΚΥΠΡΟΥ</w:t>
      </w:r>
      <w:r w:rsidRPr="008518F5">
        <w:rPr>
          <w:rFonts w:ascii="Bookman Old Style" w:hAnsi="Bookman Old Style" w:cs="Arial"/>
          <w:sz w:val="28"/>
          <w:szCs w:val="28"/>
          <w:lang w:val="el-GR"/>
        </w:rPr>
        <w:t>,</w:t>
      </w:r>
    </w:p>
    <w:p w14:paraId="23F75542" w14:textId="77777777" w:rsidR="0096773D" w:rsidRDefault="0096773D" w:rsidP="0096773D">
      <w:pPr>
        <w:ind w:right="-35"/>
        <w:jc w:val="center"/>
        <w:rPr>
          <w:rFonts w:ascii="Bookman Old Style" w:hAnsi="Bookman Old Style" w:cs="Arial"/>
          <w:sz w:val="28"/>
          <w:szCs w:val="28"/>
          <w:lang w:val="el-GR"/>
        </w:rPr>
      </w:pPr>
    </w:p>
    <w:p w14:paraId="628E9A78" w14:textId="77777777" w:rsidR="0096773D" w:rsidRPr="008518F5" w:rsidRDefault="0096773D" w:rsidP="0096773D">
      <w:pPr>
        <w:ind w:right="-35"/>
        <w:jc w:val="center"/>
        <w:rPr>
          <w:rFonts w:ascii="Bookman Old Style" w:hAnsi="Bookman Old Style" w:cs="Arial"/>
          <w:sz w:val="28"/>
          <w:szCs w:val="28"/>
          <w:lang w:val="el-GR"/>
        </w:rPr>
      </w:pPr>
    </w:p>
    <w:p w14:paraId="13C8D11A" w14:textId="77777777" w:rsidR="0096773D" w:rsidRPr="008518F5" w:rsidRDefault="0096773D" w:rsidP="0096773D">
      <w:pPr>
        <w:ind w:right="-35"/>
        <w:rPr>
          <w:rFonts w:ascii="Bookman Old Style" w:hAnsi="Bookman Old Style" w:cs="Arial"/>
          <w:sz w:val="28"/>
          <w:szCs w:val="28"/>
          <w:lang w:val="el-GR"/>
        </w:rPr>
      </w:pPr>
    </w:p>
    <w:p w14:paraId="1A0A8E51" w14:textId="77777777" w:rsidR="0096773D" w:rsidRDefault="0096773D" w:rsidP="0096773D">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Pr>
          <w:rFonts w:ascii="Bookman Old Style" w:hAnsi="Bookman Old Style" w:cs="Arial"/>
          <w:i/>
          <w:iCs/>
          <w:sz w:val="28"/>
          <w:szCs w:val="28"/>
          <w:lang w:val="el-GR"/>
        </w:rPr>
        <w:t>ων</w:t>
      </w:r>
      <w:r w:rsidRPr="008518F5">
        <w:rPr>
          <w:rFonts w:ascii="Bookman Old Style" w:hAnsi="Bookman Old Style" w:cs="Arial"/>
          <w:i/>
          <w:iCs/>
          <w:sz w:val="28"/>
          <w:szCs w:val="28"/>
          <w:lang w:val="el-GR"/>
        </w:rPr>
        <w:t>/Εν</w:t>
      </w:r>
      <w:r>
        <w:rPr>
          <w:rFonts w:ascii="Bookman Old Style" w:hAnsi="Bookman Old Style" w:cs="Arial"/>
          <w:i/>
          <w:iCs/>
          <w:sz w:val="28"/>
          <w:szCs w:val="28"/>
          <w:lang w:val="el-GR"/>
        </w:rPr>
        <w:t>αγόντων</w:t>
      </w:r>
      <w:r w:rsidRPr="008518F5">
        <w:rPr>
          <w:rFonts w:ascii="Bookman Old Style" w:hAnsi="Bookman Old Style" w:cs="Arial"/>
          <w:i/>
          <w:iCs/>
          <w:sz w:val="28"/>
          <w:szCs w:val="28"/>
          <w:lang w:val="el-GR"/>
        </w:rPr>
        <w:t>.</w:t>
      </w:r>
    </w:p>
    <w:p w14:paraId="220271ED" w14:textId="77777777" w:rsidR="0096773D" w:rsidRDefault="0096773D" w:rsidP="0096773D">
      <w:pPr>
        <w:ind w:right="-35"/>
        <w:jc w:val="right"/>
        <w:rPr>
          <w:rFonts w:ascii="Bookman Old Style" w:hAnsi="Bookman Old Style" w:cs="Arial"/>
          <w:i/>
          <w:iCs/>
          <w:sz w:val="28"/>
          <w:szCs w:val="28"/>
          <w:lang w:val="el-GR"/>
        </w:rPr>
      </w:pPr>
    </w:p>
    <w:p w14:paraId="52D942ED" w14:textId="77777777" w:rsidR="0096773D" w:rsidRDefault="0096773D" w:rsidP="0096773D">
      <w:pPr>
        <w:ind w:right="-35"/>
        <w:jc w:val="right"/>
        <w:rPr>
          <w:rFonts w:ascii="Bookman Old Style" w:hAnsi="Bookman Old Style" w:cs="Arial"/>
          <w:i/>
          <w:iCs/>
          <w:sz w:val="28"/>
          <w:szCs w:val="28"/>
          <w:lang w:val="el-GR"/>
        </w:rPr>
      </w:pPr>
    </w:p>
    <w:p w14:paraId="73E94FEB" w14:textId="42AAE81C" w:rsidR="0096773D" w:rsidRPr="00DD59D6" w:rsidRDefault="0096773D" w:rsidP="0096773D">
      <w:pPr>
        <w:ind w:right="-35"/>
        <w:jc w:val="right"/>
        <w:rPr>
          <w:rFonts w:ascii="Bookman Old Style" w:hAnsi="Bookman Old Style" w:cs="Arial"/>
          <w:b/>
          <w:bCs/>
          <w:sz w:val="28"/>
          <w:szCs w:val="28"/>
          <w:u w:val="thick"/>
          <w:lang w:val="el-GR"/>
        </w:rPr>
      </w:pPr>
      <w:r>
        <w:rPr>
          <w:rFonts w:ascii="Bookman Old Style" w:hAnsi="Bookman Old Style" w:cs="Arial"/>
          <w:b/>
          <w:bCs/>
          <w:sz w:val="28"/>
          <w:szCs w:val="28"/>
          <w:u w:val="thick"/>
          <w:lang w:val="el-GR"/>
        </w:rPr>
        <w:t>________________________________________________________________</w:t>
      </w:r>
    </w:p>
    <w:p w14:paraId="58ABD1B2" w14:textId="77777777" w:rsidR="0096773D" w:rsidRDefault="0096773D" w:rsidP="0096773D">
      <w:pPr>
        <w:ind w:right="-35"/>
        <w:jc w:val="right"/>
        <w:rPr>
          <w:rFonts w:ascii="Bookman Old Style" w:hAnsi="Bookman Old Style" w:cs="Arial"/>
          <w:i/>
          <w:iCs/>
          <w:sz w:val="28"/>
          <w:szCs w:val="28"/>
          <w:lang w:val="el-GR"/>
        </w:rPr>
      </w:pPr>
    </w:p>
    <w:p w14:paraId="52988616" w14:textId="77777777" w:rsidR="0096773D" w:rsidRPr="00EB389E" w:rsidRDefault="0096773D" w:rsidP="0096773D">
      <w:pPr>
        <w:ind w:right="-35"/>
        <w:jc w:val="right"/>
        <w:rPr>
          <w:rFonts w:ascii="Bookman Old Style" w:hAnsi="Bookman Old Style" w:cs="Arial"/>
          <w:i/>
          <w:iCs/>
          <w:sz w:val="28"/>
          <w:szCs w:val="28"/>
          <w:lang w:val="el-GR"/>
        </w:rPr>
      </w:pPr>
    </w:p>
    <w:p w14:paraId="405CCD76" w14:textId="77777777" w:rsidR="0096773D" w:rsidRDefault="0096773D" w:rsidP="0096773D">
      <w:pPr>
        <w:spacing w:line="276" w:lineRule="auto"/>
        <w:ind w:right="-35"/>
        <w:jc w:val="both"/>
        <w:rPr>
          <w:rFonts w:ascii="Bookman Old Style" w:hAnsi="Bookman Old Style" w:cs="Arial"/>
          <w:i/>
          <w:iCs/>
          <w:sz w:val="28"/>
          <w:szCs w:val="28"/>
          <w:lang w:val="el-GR"/>
        </w:rPr>
      </w:pPr>
      <w:r>
        <w:rPr>
          <w:rFonts w:ascii="Bookman Old Style" w:hAnsi="Bookman Old Style" w:cs="Arial"/>
          <w:i/>
          <w:iCs/>
          <w:sz w:val="28"/>
          <w:szCs w:val="28"/>
          <w:lang w:val="el-GR"/>
        </w:rPr>
        <w:t xml:space="preserve">Π. Πολυβίου με Μ. Αντωνίου (κα) για </w:t>
      </w:r>
      <w:proofErr w:type="spellStart"/>
      <w:r>
        <w:rPr>
          <w:rFonts w:ascii="Bookman Old Style" w:hAnsi="Bookman Old Style" w:cs="Arial"/>
          <w:i/>
          <w:iCs/>
          <w:sz w:val="28"/>
          <w:szCs w:val="28"/>
          <w:lang w:val="el-GR"/>
        </w:rPr>
        <w:t>Χρυσαφίνης</w:t>
      </w:r>
      <w:proofErr w:type="spellEnd"/>
      <w:r>
        <w:rPr>
          <w:rFonts w:ascii="Bookman Old Style" w:hAnsi="Bookman Old Style" w:cs="Arial"/>
          <w:i/>
          <w:iCs/>
          <w:sz w:val="28"/>
          <w:szCs w:val="28"/>
          <w:lang w:val="el-GR"/>
        </w:rPr>
        <w:t xml:space="preserve"> &amp; Πολυβίου ΔΕΠΕ, </w:t>
      </w:r>
    </w:p>
    <w:p w14:paraId="43430F0B" w14:textId="3D771A24" w:rsidR="0096773D" w:rsidRDefault="0096773D" w:rsidP="0096773D">
      <w:pPr>
        <w:spacing w:line="276" w:lineRule="auto"/>
        <w:ind w:right="-35"/>
        <w:jc w:val="both"/>
        <w:rPr>
          <w:rFonts w:ascii="Bookman Old Style" w:hAnsi="Bookman Old Style" w:cs="Arial"/>
          <w:iCs/>
          <w:sz w:val="28"/>
          <w:szCs w:val="28"/>
          <w:lang w:val="el-GR"/>
        </w:rPr>
      </w:pPr>
      <w:r>
        <w:rPr>
          <w:rFonts w:ascii="Bookman Old Style" w:hAnsi="Bookman Old Style" w:cs="Arial"/>
          <w:iCs/>
          <w:sz w:val="28"/>
          <w:szCs w:val="28"/>
          <w:lang w:val="el-GR"/>
        </w:rPr>
        <w:t xml:space="preserve"> </w:t>
      </w:r>
      <w:r w:rsidRPr="008518F5">
        <w:rPr>
          <w:rFonts w:ascii="Bookman Old Style" w:hAnsi="Bookman Old Style" w:cs="Arial"/>
          <w:iCs/>
          <w:sz w:val="28"/>
          <w:szCs w:val="28"/>
          <w:lang w:val="el-GR"/>
        </w:rPr>
        <w:t>για τ</w:t>
      </w:r>
      <w:r w:rsidR="0018265B">
        <w:rPr>
          <w:rFonts w:ascii="Bookman Old Style" w:hAnsi="Bookman Old Style" w:cs="Arial"/>
          <w:iCs/>
          <w:sz w:val="28"/>
          <w:szCs w:val="28"/>
          <w:lang w:val="el-GR"/>
        </w:rPr>
        <w:t xml:space="preserve">ην </w:t>
      </w:r>
      <w:proofErr w:type="spellStart"/>
      <w:r w:rsidR="0018265B">
        <w:rPr>
          <w:rFonts w:ascii="Bookman Old Style" w:hAnsi="Bookman Old Style" w:cs="Arial"/>
          <w:iCs/>
          <w:sz w:val="28"/>
          <w:szCs w:val="28"/>
          <w:lang w:val="el-GR"/>
        </w:rPr>
        <w:t>Εφεσείουσα</w:t>
      </w:r>
      <w:proofErr w:type="spellEnd"/>
      <w:r>
        <w:rPr>
          <w:rFonts w:ascii="Bookman Old Style" w:hAnsi="Bookman Old Style" w:cs="Arial"/>
          <w:iCs/>
          <w:sz w:val="28"/>
          <w:szCs w:val="28"/>
          <w:lang w:val="el-GR"/>
        </w:rPr>
        <w:t>.</w:t>
      </w:r>
    </w:p>
    <w:p w14:paraId="7EA4F767" w14:textId="77777777" w:rsidR="0096773D" w:rsidRPr="008518F5" w:rsidRDefault="0096773D" w:rsidP="0096773D">
      <w:pPr>
        <w:spacing w:line="276" w:lineRule="auto"/>
        <w:ind w:right="-35" w:firstLine="284"/>
        <w:jc w:val="both"/>
        <w:rPr>
          <w:rFonts w:ascii="Bookman Old Style" w:hAnsi="Bookman Old Style" w:cs="Arial"/>
          <w:iCs/>
          <w:sz w:val="28"/>
          <w:szCs w:val="28"/>
          <w:lang w:val="el-GR"/>
        </w:rPr>
      </w:pPr>
    </w:p>
    <w:p w14:paraId="2F10704E" w14:textId="18BCFD14" w:rsidR="0096773D" w:rsidRPr="0096773D" w:rsidRDefault="0096773D" w:rsidP="0096773D">
      <w:pPr>
        <w:spacing w:line="276" w:lineRule="auto"/>
        <w:ind w:right="-35"/>
        <w:jc w:val="both"/>
        <w:rPr>
          <w:rFonts w:ascii="Bookman Old Style" w:hAnsi="Bookman Old Style" w:cs="Arial"/>
          <w:i/>
          <w:sz w:val="28"/>
          <w:szCs w:val="28"/>
          <w:lang w:val="el-GR"/>
        </w:rPr>
      </w:pPr>
      <w:r>
        <w:rPr>
          <w:rFonts w:ascii="Bookman Old Style" w:hAnsi="Bookman Old Style" w:cs="Arial"/>
          <w:i/>
          <w:sz w:val="28"/>
          <w:szCs w:val="28"/>
          <w:lang w:val="el-GR"/>
        </w:rPr>
        <w:t xml:space="preserve">Γ. </w:t>
      </w:r>
      <w:proofErr w:type="spellStart"/>
      <w:r>
        <w:rPr>
          <w:rFonts w:ascii="Bookman Old Style" w:hAnsi="Bookman Old Style" w:cs="Arial"/>
          <w:i/>
          <w:sz w:val="28"/>
          <w:szCs w:val="28"/>
          <w:lang w:val="el-GR"/>
        </w:rPr>
        <w:t>Χατζηγιώργης</w:t>
      </w:r>
      <w:proofErr w:type="spellEnd"/>
      <w:r>
        <w:rPr>
          <w:rFonts w:ascii="Bookman Old Style" w:hAnsi="Bookman Old Style" w:cs="Arial"/>
          <w:i/>
          <w:sz w:val="28"/>
          <w:szCs w:val="28"/>
          <w:lang w:val="el-GR"/>
        </w:rPr>
        <w:t xml:space="preserve"> με Μ. </w:t>
      </w:r>
      <w:proofErr w:type="spellStart"/>
      <w:r>
        <w:rPr>
          <w:rFonts w:ascii="Bookman Old Style" w:hAnsi="Bookman Old Style" w:cs="Arial"/>
          <w:i/>
          <w:sz w:val="28"/>
          <w:szCs w:val="28"/>
          <w:lang w:val="el-GR"/>
        </w:rPr>
        <w:t>Παπαευσταθίου</w:t>
      </w:r>
      <w:proofErr w:type="spellEnd"/>
      <w:r>
        <w:rPr>
          <w:rFonts w:ascii="Bookman Old Style" w:hAnsi="Bookman Old Style" w:cs="Arial"/>
          <w:i/>
          <w:sz w:val="28"/>
          <w:szCs w:val="28"/>
          <w:lang w:val="el-GR"/>
        </w:rPr>
        <w:t xml:space="preserve"> (κα) για Τάσσος Παπαδόπουλος &amp; Συνεργάτες ΔΕΠΕ</w:t>
      </w:r>
      <w:r>
        <w:rPr>
          <w:rFonts w:ascii="Bookman Old Style" w:hAnsi="Bookman Old Style" w:cs="Arial"/>
          <w:iCs/>
          <w:sz w:val="28"/>
          <w:szCs w:val="28"/>
          <w:lang w:val="el-GR"/>
        </w:rPr>
        <w:t xml:space="preserve">, </w:t>
      </w:r>
      <w:r w:rsidRPr="008518F5">
        <w:rPr>
          <w:rFonts w:ascii="Bookman Old Style" w:hAnsi="Bookman Old Style" w:cs="Arial"/>
          <w:sz w:val="28"/>
          <w:szCs w:val="28"/>
          <w:lang w:val="el-GR"/>
        </w:rPr>
        <w:t>για το</w:t>
      </w:r>
      <w:r>
        <w:rPr>
          <w:rFonts w:ascii="Bookman Old Style" w:hAnsi="Bookman Old Style" w:cs="Arial"/>
          <w:sz w:val="28"/>
          <w:szCs w:val="28"/>
          <w:lang w:val="el-GR"/>
        </w:rPr>
        <w:t>υς</w:t>
      </w:r>
      <w:r w:rsidRPr="008518F5">
        <w:rPr>
          <w:rFonts w:ascii="Bookman Old Style" w:hAnsi="Bookman Old Style" w:cs="Arial"/>
          <w:sz w:val="28"/>
          <w:szCs w:val="28"/>
          <w:lang w:val="el-GR"/>
        </w:rPr>
        <w:t xml:space="preserve"> Εφεσίβλητ</w:t>
      </w:r>
      <w:r>
        <w:rPr>
          <w:rFonts w:ascii="Bookman Old Style" w:hAnsi="Bookman Old Style" w:cs="Arial"/>
          <w:sz w:val="28"/>
          <w:szCs w:val="28"/>
          <w:lang w:val="el-GR"/>
        </w:rPr>
        <w:t>ους</w:t>
      </w:r>
      <w:r w:rsidRPr="008518F5">
        <w:rPr>
          <w:rFonts w:ascii="Bookman Old Style" w:hAnsi="Bookman Old Style" w:cs="Arial"/>
          <w:iCs/>
          <w:sz w:val="28"/>
          <w:szCs w:val="28"/>
          <w:lang w:val="el-GR"/>
        </w:rPr>
        <w:t>.</w:t>
      </w:r>
    </w:p>
    <w:p w14:paraId="24B12605" w14:textId="77777777" w:rsidR="0096773D" w:rsidRDefault="0096773D" w:rsidP="0096773D">
      <w:pPr>
        <w:spacing w:line="276" w:lineRule="auto"/>
        <w:ind w:left="397" w:right="-35" w:hanging="113"/>
        <w:jc w:val="both"/>
        <w:rPr>
          <w:rFonts w:ascii="Bookman Old Style" w:hAnsi="Bookman Old Style" w:cs="Arial"/>
          <w:iCs/>
          <w:sz w:val="28"/>
          <w:szCs w:val="28"/>
          <w:lang w:val="el-GR"/>
        </w:rPr>
      </w:pPr>
    </w:p>
    <w:p w14:paraId="3B0C64CF" w14:textId="32094D0E" w:rsidR="0096773D" w:rsidRPr="0096591C" w:rsidRDefault="0096773D" w:rsidP="0096773D">
      <w:pPr>
        <w:spacing w:line="276" w:lineRule="auto"/>
        <w:ind w:left="397" w:right="-35" w:hanging="113"/>
        <w:jc w:val="both"/>
        <w:rPr>
          <w:rFonts w:ascii="Bookman Old Style" w:hAnsi="Bookman Old Style" w:cs="Arial"/>
          <w:b/>
          <w:bCs/>
          <w:iCs/>
          <w:sz w:val="28"/>
          <w:szCs w:val="28"/>
          <w:u w:val="thick"/>
          <w:lang w:val="el-GR"/>
        </w:rPr>
      </w:pPr>
      <w:r>
        <w:rPr>
          <w:rFonts w:ascii="Bookman Old Style" w:hAnsi="Bookman Old Style" w:cs="Arial"/>
          <w:b/>
          <w:bCs/>
          <w:iCs/>
          <w:sz w:val="28"/>
          <w:szCs w:val="28"/>
          <w:u w:val="thick"/>
          <w:lang w:val="el-GR"/>
        </w:rPr>
        <w:t>______________________________________________________________</w:t>
      </w:r>
    </w:p>
    <w:p w14:paraId="65842E9E" w14:textId="77777777" w:rsidR="0096773D" w:rsidRDefault="0096773D" w:rsidP="0096773D">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ΜΑΛΑΧΤΟΣ</w:t>
      </w:r>
      <w:r w:rsidRPr="008518F5">
        <w:rPr>
          <w:rFonts w:ascii="Bookman Old Style" w:hAnsi="Bookman Old Style" w:cs="Arial"/>
          <w:b/>
          <w:sz w:val="28"/>
          <w:szCs w:val="28"/>
          <w:lang w:val="el-GR"/>
        </w:rPr>
        <w:t>, Δ.:  Η Απόφαση είναι ομόφωνη, θα απαγγελθεί από τη Δικαστή Δημητριάδου-Ανδρέου.</w:t>
      </w:r>
    </w:p>
    <w:p w14:paraId="1AFD3FF0" w14:textId="1F2FC894" w:rsidR="0096773D" w:rsidRPr="00150947" w:rsidRDefault="0096773D" w:rsidP="0096773D">
      <w:pPr>
        <w:spacing w:line="276" w:lineRule="auto"/>
        <w:ind w:left="2610" w:right="-35" w:hanging="2326"/>
        <w:jc w:val="both"/>
        <w:rPr>
          <w:rFonts w:ascii="Bookman Old Style" w:hAnsi="Bookman Old Style" w:cs="Arial"/>
          <w:b/>
          <w:sz w:val="28"/>
          <w:szCs w:val="28"/>
          <w:u w:val="thick"/>
          <w:lang w:val="el-GR"/>
        </w:rPr>
      </w:pPr>
      <w:r>
        <w:rPr>
          <w:rFonts w:ascii="Bookman Old Style" w:hAnsi="Bookman Old Style" w:cs="Arial"/>
          <w:b/>
          <w:sz w:val="28"/>
          <w:szCs w:val="28"/>
          <w:u w:val="thick"/>
          <w:lang w:val="el-GR"/>
        </w:rPr>
        <w:t>______________________________________________________________</w:t>
      </w:r>
    </w:p>
    <w:p w14:paraId="008A9A2E" w14:textId="77777777" w:rsidR="0096773D" w:rsidRDefault="0096773D" w:rsidP="0096773D">
      <w:pPr>
        <w:spacing w:line="276" w:lineRule="auto"/>
        <w:ind w:right="-34"/>
        <w:jc w:val="center"/>
        <w:rPr>
          <w:rFonts w:ascii="Bookman Old Style" w:hAnsi="Bookman Old Style" w:cs="Arial"/>
          <w:b/>
          <w:bCs/>
          <w:caps/>
          <w:sz w:val="36"/>
          <w:szCs w:val="36"/>
          <w:u w:val="thick"/>
          <w:lang w:val="el-GR"/>
        </w:rPr>
      </w:pPr>
    </w:p>
    <w:p w14:paraId="60498ED5" w14:textId="77777777" w:rsidR="0096773D" w:rsidRPr="0096773D" w:rsidRDefault="0096773D" w:rsidP="0096773D">
      <w:pPr>
        <w:spacing w:line="276" w:lineRule="auto"/>
        <w:ind w:right="-34"/>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00F95D19" w14:textId="77777777" w:rsidR="0096773D" w:rsidRDefault="0096773D" w:rsidP="0096773D">
      <w:pPr>
        <w:tabs>
          <w:tab w:val="left" w:pos="624"/>
        </w:tabs>
        <w:ind w:left="681" w:right="-34" w:hanging="397"/>
        <w:jc w:val="both"/>
        <w:rPr>
          <w:rFonts w:ascii="Bookman Old Style" w:hAnsi="Bookman Old Style" w:cs="Arial"/>
          <w:b/>
          <w:bCs/>
          <w:sz w:val="28"/>
          <w:szCs w:val="28"/>
          <w:lang w:val="el-GR"/>
        </w:rPr>
      </w:pPr>
    </w:p>
    <w:p w14:paraId="4268AC7E" w14:textId="77777777" w:rsidR="0096773D" w:rsidRPr="008518F5" w:rsidRDefault="0096773D" w:rsidP="0096773D">
      <w:pPr>
        <w:tabs>
          <w:tab w:val="left" w:pos="624"/>
        </w:tabs>
        <w:ind w:left="681" w:right="-34" w:hanging="397"/>
        <w:jc w:val="both"/>
        <w:rPr>
          <w:rFonts w:ascii="Bookman Old Style" w:hAnsi="Bookman Old Style" w:cs="Arial"/>
          <w:b/>
          <w:bCs/>
          <w:sz w:val="28"/>
          <w:szCs w:val="28"/>
          <w:lang w:val="el-GR"/>
        </w:rPr>
      </w:pPr>
    </w:p>
    <w:p w14:paraId="79752D3E" w14:textId="69838EC7" w:rsidR="0096773D" w:rsidRDefault="0096773D" w:rsidP="0096773D">
      <w:pPr>
        <w:spacing w:line="480" w:lineRule="auto"/>
        <w:ind w:right="-34"/>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 Δ</w:t>
      </w:r>
      <w:r w:rsidRPr="008518F5">
        <w:rPr>
          <w:rFonts w:ascii="Bookman Old Style" w:hAnsi="Bookman Old Style" w:cs="Arial"/>
          <w:sz w:val="28"/>
          <w:szCs w:val="28"/>
          <w:lang w:val="el-GR"/>
        </w:rPr>
        <w:t xml:space="preserve">.: </w:t>
      </w:r>
      <w:r>
        <w:rPr>
          <w:rFonts w:ascii="Bookman Old Style" w:hAnsi="Bookman Old Style" w:cs="Arial"/>
          <w:sz w:val="28"/>
          <w:szCs w:val="28"/>
          <w:lang w:val="el-GR"/>
        </w:rPr>
        <w:t>Μετά από δια κλήσεως Αίτηση των Ε</w:t>
      </w:r>
      <w:r w:rsidR="00777355">
        <w:rPr>
          <w:rFonts w:ascii="Bookman Old Style" w:hAnsi="Bookman Old Style" w:cs="Arial"/>
          <w:sz w:val="28"/>
          <w:szCs w:val="28"/>
          <w:lang w:val="el-GR"/>
        </w:rPr>
        <w:t>φεσίβλητων</w:t>
      </w:r>
      <w:r w:rsidR="003000D5" w:rsidRPr="003000D5">
        <w:rPr>
          <w:rFonts w:ascii="Bookman Old Style" w:hAnsi="Bookman Old Style" w:cs="Arial"/>
          <w:sz w:val="28"/>
          <w:szCs w:val="28"/>
          <w:lang w:val="el-GR"/>
        </w:rPr>
        <w:t>,</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27/7/2016</w:t>
      </w:r>
      <w:r w:rsidR="003000D5" w:rsidRPr="007E0DD6">
        <w:rPr>
          <w:rFonts w:ascii="Bookman Old Style" w:hAnsi="Bookman Old Style" w:cs="Arial"/>
          <w:sz w:val="28"/>
          <w:szCs w:val="28"/>
          <w:lang w:val="el-GR"/>
        </w:rPr>
        <w:t>,</w:t>
      </w:r>
      <w:r>
        <w:rPr>
          <w:rFonts w:ascii="Bookman Old Style" w:hAnsi="Bookman Old Style" w:cs="Arial"/>
          <w:sz w:val="28"/>
          <w:szCs w:val="28"/>
          <w:lang w:val="el-GR"/>
        </w:rPr>
        <w:t xml:space="preserve"> για συνοπτική απόφαση κατά της </w:t>
      </w:r>
      <w:proofErr w:type="spellStart"/>
      <w:r>
        <w:rPr>
          <w:rFonts w:ascii="Bookman Old Style" w:hAnsi="Bookman Old Style" w:cs="Arial"/>
          <w:sz w:val="28"/>
          <w:szCs w:val="28"/>
          <w:lang w:val="el-GR"/>
        </w:rPr>
        <w:t>Εφεσείουσα</w:t>
      </w:r>
      <w:r w:rsidR="00777355">
        <w:rPr>
          <w:rFonts w:ascii="Bookman Old Style" w:hAnsi="Bookman Old Style" w:cs="Arial"/>
          <w:sz w:val="28"/>
          <w:szCs w:val="28"/>
          <w:lang w:val="el-GR"/>
        </w:rPr>
        <w:t>ς</w:t>
      </w:r>
      <w:proofErr w:type="spellEnd"/>
      <w:r>
        <w:rPr>
          <w:rFonts w:ascii="Bookman Old Style" w:hAnsi="Bookman Old Style" w:cs="Arial"/>
          <w:sz w:val="28"/>
          <w:szCs w:val="28"/>
          <w:lang w:val="el-GR"/>
        </w:rPr>
        <w:t xml:space="preserve"> στην Αγωγή του Επαρχιακού Δικαστηρίου Λευκωσίας με αριθμό 2170/2015, το Επαρχιακό Δικαστήριο Λευκωσίας («το πρωτόδικο Δικαστήριο») εξέδωσε στις 16/10/2017 συνοπτική Απόφαση ως η Αγωγή («η πρωτόδικη Απόφαση»).</w:t>
      </w:r>
    </w:p>
    <w:p w14:paraId="1F55A753" w14:textId="77777777" w:rsidR="0096773D" w:rsidRDefault="0096773D" w:rsidP="0096773D">
      <w:pPr>
        <w:spacing w:line="480" w:lineRule="auto"/>
        <w:ind w:right="-35"/>
        <w:jc w:val="both"/>
        <w:rPr>
          <w:rFonts w:ascii="Bookman Old Style" w:hAnsi="Bookman Old Style" w:cs="Arial"/>
          <w:sz w:val="28"/>
          <w:szCs w:val="28"/>
          <w:lang w:val="el-GR"/>
        </w:rPr>
      </w:pPr>
    </w:p>
    <w:p w14:paraId="3400EDA6" w14:textId="77777777"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Αντικείμενο της Αγωγής ήταν απαίτηση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κατά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για την καταβολή από τους τελευταίους οφειλόμενων επιβαρύνσεων και/ή ετήσιων εισφορών και/ή τελών και/ή προστίμων και/ή οφειλής δυνάμει </w:t>
      </w:r>
      <w:proofErr w:type="spellStart"/>
      <w:r>
        <w:rPr>
          <w:rFonts w:ascii="Bookman Old Style" w:hAnsi="Bookman Old Style" w:cs="Arial"/>
          <w:sz w:val="28"/>
          <w:szCs w:val="28"/>
          <w:lang w:val="el-GR"/>
        </w:rPr>
        <w:t>εκδοθέντων</w:t>
      </w:r>
      <w:proofErr w:type="spellEnd"/>
      <w:r>
        <w:rPr>
          <w:rFonts w:ascii="Bookman Old Style" w:hAnsi="Bookman Old Style" w:cs="Arial"/>
          <w:sz w:val="28"/>
          <w:szCs w:val="28"/>
          <w:lang w:val="el-GR"/>
        </w:rPr>
        <w:t xml:space="preserve"> τιμολογίων και/ή δυνάμει υπηρεσιών που προσφέρθηκαν. </w:t>
      </w:r>
    </w:p>
    <w:p w14:paraId="22A9D29F" w14:textId="77777777" w:rsidR="0096773D" w:rsidRDefault="0096773D" w:rsidP="0096773D">
      <w:pPr>
        <w:spacing w:line="480" w:lineRule="auto"/>
        <w:ind w:right="-35"/>
        <w:jc w:val="both"/>
        <w:rPr>
          <w:rFonts w:ascii="Bookman Old Style" w:hAnsi="Bookman Old Style" w:cs="Arial"/>
          <w:sz w:val="28"/>
          <w:szCs w:val="28"/>
          <w:lang w:val="el-GR"/>
        </w:rPr>
      </w:pPr>
    </w:p>
    <w:p w14:paraId="6801E504" w14:textId="77777777"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αφού έκρινε ότι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είχε αποτύχει να καταδείξει ότι έχει καλή υπεράσπιση ή να δείξει τέτοιους λόγους που να της έδιναν το δικαίωμα να υπερασπιστεί στην Αγωγή, </w:t>
      </w:r>
      <w:r>
        <w:rPr>
          <w:rFonts w:ascii="Bookman Old Style" w:hAnsi="Bookman Old Style" w:cs="Arial"/>
          <w:sz w:val="28"/>
          <w:szCs w:val="28"/>
          <w:lang w:val="el-GR"/>
        </w:rPr>
        <w:lastRenderedPageBreak/>
        <w:t>κατέληξε ότι οι Εφεσίβλητοι είχαν ικανοποιήσει ότι πληρούνταν οι προϋποθέσεις προς έκδοση συνοπτικής απόφασης.</w:t>
      </w:r>
    </w:p>
    <w:p w14:paraId="2BBBC0B1" w14:textId="77777777" w:rsidR="0096773D" w:rsidRDefault="0096773D" w:rsidP="0096773D">
      <w:pPr>
        <w:spacing w:line="480" w:lineRule="auto"/>
        <w:ind w:right="-35"/>
        <w:jc w:val="both"/>
        <w:rPr>
          <w:rFonts w:ascii="Bookman Old Style" w:hAnsi="Bookman Old Style" w:cs="Arial"/>
          <w:sz w:val="28"/>
          <w:szCs w:val="28"/>
          <w:lang w:val="el-GR"/>
        </w:rPr>
      </w:pPr>
    </w:p>
    <w:p w14:paraId="5CDC11E7" w14:textId="77777777"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 προκειμένω, η Αγωγή αφορούσε στην επιβολή από τους Εφεσίβλητους στην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η οποία είναι δημόσια εταιρεία</w:t>
      </w:r>
      <w:r w:rsidRPr="00DE7B0B">
        <w:rPr>
          <w:rFonts w:ascii="Bookman Old Style" w:hAnsi="Bookman Old Style" w:cs="Arial"/>
          <w:sz w:val="28"/>
          <w:szCs w:val="28"/>
          <w:lang w:val="el-GR"/>
        </w:rPr>
        <w:t xml:space="preserve"> </w:t>
      </w:r>
      <w:r>
        <w:rPr>
          <w:rFonts w:ascii="Bookman Old Style" w:hAnsi="Bookman Old Style" w:cs="Arial"/>
          <w:sz w:val="28"/>
          <w:szCs w:val="28"/>
          <w:lang w:val="el-GR"/>
        </w:rPr>
        <w:t>με μετοχές και αποτελούσε εισηγμένο εκδότη στο</w:t>
      </w:r>
      <w:r w:rsidRPr="00DE7B0B">
        <w:rPr>
          <w:rFonts w:ascii="Bookman Old Style" w:hAnsi="Bookman Old Style" w:cs="Arial"/>
          <w:sz w:val="28"/>
          <w:szCs w:val="28"/>
          <w:lang w:val="el-GR"/>
        </w:rPr>
        <w:t xml:space="preserve"> </w:t>
      </w:r>
      <w:r>
        <w:rPr>
          <w:rFonts w:ascii="Bookman Old Style" w:hAnsi="Bookman Old Style" w:cs="Arial"/>
          <w:sz w:val="28"/>
          <w:szCs w:val="28"/>
          <w:lang w:val="el-GR"/>
        </w:rPr>
        <w:t>Χρηματιστήριο Αξιών Κύπρου (εφεξής ΧΑΚ), τελών και χρεώσεων σε σχέση με την ετήσια εισφορά εκδοτών εισηγμένων μετοχών και χρεογράφων/αξιογράφων και χρέωση για την τήρηση μητρώου εκδότη μετοχών</w:t>
      </w:r>
      <w:r w:rsidRPr="006D2AD4">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και χρεογράφων/αξιογράφων. Τα εν λόγω τέλη επιβλήθηκαν από τους Εφεσίβλητους με βάση τη Χρηματιστηριακή Νομοθεσία. </w:t>
      </w:r>
    </w:p>
    <w:p w14:paraId="01A7AF53" w14:textId="77777777" w:rsidR="0096773D" w:rsidRDefault="0096773D" w:rsidP="0096773D">
      <w:pPr>
        <w:spacing w:line="480" w:lineRule="auto"/>
        <w:ind w:right="-35"/>
        <w:jc w:val="both"/>
        <w:rPr>
          <w:rFonts w:ascii="Bookman Old Style" w:hAnsi="Bookman Old Style" w:cs="Arial"/>
          <w:sz w:val="28"/>
          <w:szCs w:val="28"/>
          <w:lang w:val="el-GR"/>
        </w:rPr>
      </w:pPr>
    </w:p>
    <w:p w14:paraId="18FDC5EB" w14:textId="727CA6BB" w:rsidR="0096773D" w:rsidRPr="003D7502"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w:t>
      </w:r>
      <w:bookmarkStart w:id="0" w:name="_Hlk149220161"/>
      <w:r>
        <w:rPr>
          <w:rFonts w:ascii="Bookman Old Style" w:hAnsi="Bookman Old Style" w:cs="Arial"/>
          <w:sz w:val="28"/>
          <w:szCs w:val="28"/>
          <w:lang w:val="el-GR"/>
        </w:rPr>
        <w:t>πρωτόδικο Δικαστήριο</w:t>
      </w:r>
      <w:bookmarkEnd w:id="0"/>
      <w:r>
        <w:rPr>
          <w:rFonts w:ascii="Bookman Old Style" w:hAnsi="Bookman Old Style" w:cs="Arial"/>
          <w:sz w:val="28"/>
          <w:szCs w:val="28"/>
          <w:lang w:val="el-GR"/>
        </w:rPr>
        <w:t xml:space="preserve">, αφού αναφέρθηκε στις σχετικές πρόνοιες της Χρηματιστηριακής Νομοθεσίας, έκρινε ότι η πράξη επιβολής των τελών και χρεώσεων </w:t>
      </w:r>
      <w:proofErr w:type="spellStart"/>
      <w:r>
        <w:rPr>
          <w:rFonts w:ascii="Bookman Old Style" w:hAnsi="Bookman Old Style" w:cs="Arial"/>
          <w:sz w:val="28"/>
          <w:szCs w:val="28"/>
          <w:lang w:val="el-GR"/>
        </w:rPr>
        <w:t>σχετίζετο</w:t>
      </w:r>
      <w:proofErr w:type="spellEnd"/>
      <w:r>
        <w:rPr>
          <w:rFonts w:ascii="Bookman Old Style" w:hAnsi="Bookman Old Style" w:cs="Arial"/>
          <w:sz w:val="28"/>
          <w:szCs w:val="28"/>
          <w:lang w:val="el-GR"/>
        </w:rPr>
        <w:t xml:space="preserve"> «</w:t>
      </w:r>
      <w:r w:rsidRPr="008F3B6B">
        <w:rPr>
          <w:rFonts w:ascii="Bookman Old Style" w:hAnsi="Bookman Old Style" w:cs="Arial"/>
          <w:i/>
          <w:iCs/>
          <w:sz w:val="28"/>
          <w:szCs w:val="28"/>
          <w:lang w:val="el-GR"/>
        </w:rPr>
        <w:t>με την προώθηση και εκπλήρωση των δημόσιων σκοπών που έχουν εναποτεθεί στο ΧΑΚ</w:t>
      </w:r>
      <w:r>
        <w:rPr>
          <w:rFonts w:ascii="Bookman Old Style" w:hAnsi="Bookman Old Style" w:cs="Arial"/>
          <w:i/>
          <w:iCs/>
          <w:sz w:val="28"/>
          <w:szCs w:val="28"/>
          <w:lang w:val="el-GR"/>
        </w:rPr>
        <w:t>»</w:t>
      </w:r>
      <w:r>
        <w:rPr>
          <w:rFonts w:ascii="Bookman Old Style" w:hAnsi="Bookman Old Style" w:cs="Arial"/>
          <w:sz w:val="28"/>
          <w:szCs w:val="28"/>
          <w:lang w:val="el-GR"/>
        </w:rPr>
        <w:t>. Κατέληξε δε, επισημαίνοντας</w:t>
      </w:r>
      <w:r w:rsidR="007E0DD6">
        <w:rPr>
          <w:rFonts w:ascii="Bookman Old Style" w:hAnsi="Bookman Old Style" w:cs="Arial"/>
          <w:sz w:val="28"/>
          <w:szCs w:val="28"/>
          <w:lang w:val="el-GR"/>
        </w:rPr>
        <w:t>,</w:t>
      </w:r>
      <w:r>
        <w:rPr>
          <w:rFonts w:ascii="Bookman Old Style" w:hAnsi="Bookman Old Style" w:cs="Arial"/>
          <w:sz w:val="28"/>
          <w:szCs w:val="28"/>
          <w:lang w:val="el-GR"/>
        </w:rPr>
        <w:t xml:space="preserve"> ότι επιβάλλοντας το ΧΑΚ τα εν λόγω τέλη και χρεώσεις «</w:t>
      </w:r>
      <w:r w:rsidRPr="008F3B6B">
        <w:rPr>
          <w:rFonts w:ascii="Bookman Old Style" w:hAnsi="Bookman Old Style" w:cs="Arial"/>
          <w:i/>
          <w:iCs/>
          <w:sz w:val="28"/>
          <w:szCs w:val="28"/>
          <w:lang w:val="el-GR"/>
        </w:rPr>
        <w:t>δεν έχει ως σκοπό τη ρύθμιση των ιδιωτικών δικαιωμάτων των εκδοτών, αλλά ασκεί</w:t>
      </w:r>
      <w:r>
        <w:rPr>
          <w:rFonts w:ascii="Bookman Old Style" w:hAnsi="Bookman Old Style" w:cs="Arial"/>
          <w:sz w:val="28"/>
          <w:szCs w:val="28"/>
          <w:lang w:val="el-GR"/>
        </w:rPr>
        <w:t xml:space="preserve"> …….</w:t>
      </w:r>
      <w:r w:rsidRPr="008F3B6B">
        <w:rPr>
          <w:rFonts w:ascii="Bookman Old Style" w:hAnsi="Bookman Old Style" w:cs="Arial"/>
          <w:i/>
          <w:iCs/>
          <w:sz w:val="28"/>
          <w:szCs w:val="28"/>
          <w:lang w:val="el-GR"/>
        </w:rPr>
        <w:t>, δημόσια εξουσία</w:t>
      </w:r>
      <w:r>
        <w:rPr>
          <w:rFonts w:ascii="Bookman Old Style" w:hAnsi="Bookman Old Style" w:cs="Arial"/>
          <w:i/>
          <w:iCs/>
          <w:sz w:val="28"/>
          <w:szCs w:val="28"/>
          <w:lang w:val="el-GR"/>
        </w:rPr>
        <w:t>,</w:t>
      </w:r>
      <w:r w:rsidRPr="008F3B6B">
        <w:rPr>
          <w:rFonts w:ascii="Bookman Old Style" w:hAnsi="Bookman Old Style" w:cs="Arial"/>
          <w:i/>
          <w:iCs/>
          <w:sz w:val="28"/>
          <w:szCs w:val="28"/>
          <w:lang w:val="el-GR"/>
        </w:rPr>
        <w:t xml:space="preserve"> μονομερώς,</w:t>
      </w:r>
      <w:r>
        <w:rPr>
          <w:rFonts w:ascii="Bookman Old Style" w:hAnsi="Bookman Old Style" w:cs="Arial"/>
          <w:sz w:val="28"/>
          <w:szCs w:val="28"/>
          <w:lang w:val="el-GR"/>
        </w:rPr>
        <w:t xml:space="preserve"> </w:t>
      </w:r>
      <w:r w:rsidRPr="008F3B6B">
        <w:rPr>
          <w:rFonts w:ascii="Bookman Old Style" w:hAnsi="Bookman Old Style" w:cs="Arial"/>
          <w:i/>
          <w:iCs/>
          <w:sz w:val="28"/>
          <w:szCs w:val="28"/>
          <w:lang w:val="el-GR"/>
        </w:rPr>
        <w:t>παράγουσα έννομα αποτελέσματα έναντι των εισηγμένων εκδοτών</w:t>
      </w:r>
      <w:r>
        <w:rPr>
          <w:rFonts w:ascii="Bookman Old Style" w:hAnsi="Bookman Old Style" w:cs="Arial"/>
          <w:sz w:val="28"/>
          <w:szCs w:val="28"/>
          <w:lang w:val="el-GR"/>
        </w:rPr>
        <w:t>»</w:t>
      </w:r>
      <w:r w:rsidR="007E0DD6">
        <w:rPr>
          <w:rFonts w:ascii="Bookman Old Style" w:hAnsi="Bookman Old Style" w:cs="Arial"/>
          <w:sz w:val="28"/>
          <w:szCs w:val="28"/>
          <w:lang w:val="el-GR"/>
        </w:rPr>
        <w:t>,</w:t>
      </w:r>
      <w:r>
        <w:rPr>
          <w:rFonts w:ascii="Bookman Old Style" w:hAnsi="Bookman Old Style" w:cs="Arial"/>
          <w:sz w:val="28"/>
          <w:szCs w:val="28"/>
          <w:lang w:val="el-GR"/>
        </w:rPr>
        <w:t xml:space="preserve"> με αποτέλεσμα οι αποφάσεις επιβολής των επίδικων τελών και χρεώσεων </w:t>
      </w:r>
      <w:r>
        <w:rPr>
          <w:rFonts w:ascii="Bookman Old Style" w:hAnsi="Bookman Old Style" w:cs="Arial"/>
          <w:sz w:val="28"/>
          <w:szCs w:val="28"/>
          <w:lang w:val="el-GR"/>
        </w:rPr>
        <w:lastRenderedPageBreak/>
        <w:t xml:space="preserve">να συνιστούν εκτελεστές διοικητικές πράξεις. Δεδομένης, δε, της </w:t>
      </w:r>
      <w:r w:rsidR="0065678F">
        <w:rPr>
          <w:rFonts w:ascii="Bookman Old Style" w:hAnsi="Bookman Old Style" w:cs="Arial"/>
          <w:sz w:val="28"/>
          <w:szCs w:val="28"/>
          <w:lang w:val="el-GR"/>
        </w:rPr>
        <w:t xml:space="preserve">πιο πάνω διαπίστωσης και λαμβάνοντας υπόψη τη </w:t>
      </w:r>
      <w:r>
        <w:rPr>
          <w:rFonts w:ascii="Bookman Old Style" w:hAnsi="Bookman Old Style" w:cs="Arial"/>
          <w:sz w:val="28"/>
          <w:szCs w:val="28"/>
          <w:lang w:val="el-GR"/>
        </w:rPr>
        <w:t xml:space="preserve">μη αμφισβήτηση τους μέσω προσφυγής στη βάση του </w:t>
      </w:r>
      <w:r w:rsidRPr="0036525D">
        <w:rPr>
          <w:rFonts w:ascii="Bookman Old Style" w:hAnsi="Bookman Old Style" w:cs="Arial"/>
          <w:b/>
          <w:bCs/>
          <w:i/>
          <w:iCs/>
          <w:sz w:val="28"/>
          <w:szCs w:val="28"/>
          <w:lang w:val="el-GR"/>
        </w:rPr>
        <w:t xml:space="preserve">Άρθρου 146 </w:t>
      </w:r>
      <w:r w:rsidRPr="00777355">
        <w:rPr>
          <w:rFonts w:ascii="Bookman Old Style" w:hAnsi="Bookman Old Style" w:cs="Arial"/>
          <w:sz w:val="28"/>
          <w:szCs w:val="28"/>
          <w:lang w:val="el-GR"/>
        </w:rPr>
        <w:t xml:space="preserve">του </w:t>
      </w:r>
      <w:r w:rsidRPr="0036525D">
        <w:rPr>
          <w:rFonts w:ascii="Bookman Old Style" w:hAnsi="Bookman Old Style" w:cs="Arial"/>
          <w:b/>
          <w:bCs/>
          <w:i/>
          <w:iCs/>
          <w:sz w:val="28"/>
          <w:szCs w:val="28"/>
          <w:lang w:val="el-GR"/>
        </w:rPr>
        <w:t>Συντάγματος</w:t>
      </w:r>
      <w:r>
        <w:rPr>
          <w:rFonts w:ascii="Bookman Old Style" w:hAnsi="Bookman Old Style" w:cs="Arial"/>
          <w:sz w:val="28"/>
          <w:szCs w:val="28"/>
          <w:lang w:val="el-GR"/>
        </w:rPr>
        <w:t>, το πρωτόδικο Δικαστήριο κατέληξε ότι τα τέλη είχαν καταστεί απαιτητά με αγωγή στο πλαίσιο της οποίας η νομιμότητα της απόφασης για την επιβολή τους δεν μπορούσε να αμφισβητηθεί.</w:t>
      </w:r>
    </w:p>
    <w:p w14:paraId="5A9E75C7" w14:textId="77777777" w:rsidR="0096773D" w:rsidRDefault="0096773D" w:rsidP="0096773D">
      <w:pPr>
        <w:spacing w:line="480" w:lineRule="auto"/>
        <w:ind w:right="-35"/>
        <w:jc w:val="both"/>
        <w:rPr>
          <w:rFonts w:ascii="Bookman Old Style" w:hAnsi="Bookman Old Style" w:cs="Arial"/>
          <w:sz w:val="28"/>
          <w:szCs w:val="28"/>
          <w:lang w:val="el-GR"/>
        </w:rPr>
      </w:pPr>
    </w:p>
    <w:p w14:paraId="0C193B7C" w14:textId="77777777"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πρωτόδικη Απόφαση προσβάλλεται με </w:t>
      </w:r>
      <w:r>
        <w:rPr>
          <w:rFonts w:ascii="Bookman Old Style" w:hAnsi="Bookman Old Style" w:cs="Arial"/>
          <w:b/>
          <w:bCs/>
          <w:sz w:val="28"/>
          <w:szCs w:val="28"/>
          <w:lang w:val="el-GR"/>
        </w:rPr>
        <w:t>τέσσερις Λόγους Έφεσης</w:t>
      </w:r>
      <w:r>
        <w:rPr>
          <w:rFonts w:ascii="Bookman Old Style" w:hAnsi="Bookman Old Style" w:cs="Arial"/>
          <w:sz w:val="28"/>
          <w:szCs w:val="28"/>
          <w:lang w:val="el-GR"/>
        </w:rPr>
        <w:t>.</w:t>
      </w:r>
    </w:p>
    <w:p w14:paraId="3F0BBA4C" w14:textId="77777777" w:rsidR="0096773D" w:rsidRDefault="0096773D" w:rsidP="0096773D">
      <w:pPr>
        <w:spacing w:line="480" w:lineRule="auto"/>
        <w:ind w:right="-35"/>
        <w:jc w:val="both"/>
        <w:rPr>
          <w:rFonts w:ascii="Bookman Old Style" w:hAnsi="Bookman Old Style" w:cs="Arial"/>
          <w:sz w:val="28"/>
          <w:szCs w:val="28"/>
          <w:lang w:val="el-GR"/>
        </w:rPr>
      </w:pPr>
    </w:p>
    <w:p w14:paraId="3FF6BC91" w14:textId="583AD680"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1</w:t>
      </w:r>
      <w:r w:rsidRPr="006F0253">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προβάλλεται ότι το πρωτόδικο Δικαστήριο εσφαλμένα αποφάσισε ότι η επιβολή των επίδικων τελών μέσω των εν λόγω τιμολογίων, αποτελούσε εκτελεστή διοικητική πράξη και ότι το Δικαστήριο δεν είχε δικαιοδοσία να αποφασίσει για ζητήματα που σχετίζονταν με αυτά, χωρίς να εξετάσει ενδελεχώς και ή με οποιοδήποτε τρόπο τη φύση της επίδικης πράξης και, στη συγκεκριμένη περίπτωση, των επίδικων τελών. Συναφής είναι και ο </w:t>
      </w:r>
      <w:r>
        <w:rPr>
          <w:rFonts w:ascii="Bookman Old Style" w:hAnsi="Bookman Old Style" w:cs="Arial"/>
          <w:b/>
          <w:bCs/>
          <w:sz w:val="28"/>
          <w:szCs w:val="28"/>
          <w:lang w:val="el-GR"/>
        </w:rPr>
        <w:t>2</w:t>
      </w:r>
      <w:r w:rsidRPr="00ED776D">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μέσω του οποίου υποστηρίζεται ότι το πρωτόδικο Δικαστήριο κατέληξε λανθασμένα στο συμπέρασμα ότι τα επίδικα τέλη, που είχαν προκύψει από τα αναφερόμενα στην Απόφαση τιμολόγια, αποτελούσαν εκτελεστή διοικητική πράξη σε σχέση με την οποία δεν είχε οποιαδήποτε αρμοδιότητα το πρωτόδικο Δικαστήριο. </w:t>
      </w:r>
      <w:r>
        <w:rPr>
          <w:rFonts w:ascii="Bookman Old Style" w:hAnsi="Bookman Old Style" w:cs="Arial"/>
          <w:sz w:val="28"/>
          <w:szCs w:val="28"/>
          <w:lang w:val="el-GR"/>
        </w:rPr>
        <w:lastRenderedPageBreak/>
        <w:t xml:space="preserve">Δια του </w:t>
      </w:r>
      <w:r>
        <w:rPr>
          <w:rFonts w:ascii="Bookman Old Style" w:hAnsi="Bookman Old Style" w:cs="Arial"/>
          <w:b/>
          <w:bCs/>
          <w:sz w:val="28"/>
          <w:szCs w:val="28"/>
          <w:lang w:val="el-GR"/>
        </w:rPr>
        <w:t>3</w:t>
      </w:r>
      <w:r w:rsidRPr="00ED776D">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προβάλλεται ότι λανθασμένα το πρωτόδικο Δικαστήριο εξέδωσε συνοπτική Απόφαση υπέρ των Ε</w:t>
      </w:r>
      <w:r w:rsidR="00777355">
        <w:rPr>
          <w:rFonts w:ascii="Bookman Old Style" w:hAnsi="Bookman Old Style" w:cs="Arial"/>
          <w:sz w:val="28"/>
          <w:szCs w:val="28"/>
          <w:lang w:val="el-GR"/>
        </w:rPr>
        <w:t xml:space="preserve">φεσίβλητων </w:t>
      </w:r>
      <w:r>
        <w:rPr>
          <w:rFonts w:ascii="Bookman Old Style" w:hAnsi="Bookman Old Style" w:cs="Arial"/>
          <w:sz w:val="28"/>
          <w:szCs w:val="28"/>
          <w:lang w:val="el-GR"/>
        </w:rPr>
        <w:t xml:space="preserve">και εναντίον </w:t>
      </w:r>
      <w:r w:rsidR="00777355">
        <w:rPr>
          <w:rFonts w:ascii="Bookman Old Style" w:hAnsi="Bookman Old Style" w:cs="Arial"/>
          <w:sz w:val="28"/>
          <w:szCs w:val="28"/>
          <w:lang w:val="el-GR"/>
        </w:rPr>
        <w:t xml:space="preserve">της </w:t>
      </w:r>
      <w:proofErr w:type="spellStart"/>
      <w:r w:rsidR="00777355">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χωρίς να εξετάσει κατά πόσο </w:t>
      </w:r>
      <w:r w:rsidR="00777355">
        <w:rPr>
          <w:rFonts w:ascii="Bookman Old Style" w:hAnsi="Bookman Old Style" w:cs="Arial"/>
          <w:sz w:val="28"/>
          <w:szCs w:val="28"/>
          <w:lang w:val="el-GR"/>
        </w:rPr>
        <w:t>η τελευταία</w:t>
      </w:r>
      <w:r>
        <w:rPr>
          <w:rFonts w:ascii="Bookman Old Style" w:hAnsi="Bookman Old Style" w:cs="Arial"/>
          <w:sz w:val="28"/>
          <w:szCs w:val="28"/>
          <w:lang w:val="el-GR"/>
        </w:rPr>
        <w:t xml:space="preserve"> μπορούσ</w:t>
      </w:r>
      <w:r w:rsidR="00777355">
        <w:rPr>
          <w:rFonts w:ascii="Bookman Old Style" w:hAnsi="Bookman Old Style" w:cs="Arial"/>
          <w:sz w:val="28"/>
          <w:szCs w:val="28"/>
          <w:lang w:val="el-GR"/>
        </w:rPr>
        <w:t>ε</w:t>
      </w:r>
      <w:r>
        <w:rPr>
          <w:rFonts w:ascii="Bookman Old Style" w:hAnsi="Bookman Old Style" w:cs="Arial"/>
          <w:sz w:val="28"/>
          <w:szCs w:val="28"/>
          <w:lang w:val="el-GR"/>
        </w:rPr>
        <w:t xml:space="preserve"> να στοιχειοθετήσ</w:t>
      </w:r>
      <w:r w:rsidR="00777355">
        <w:rPr>
          <w:rFonts w:ascii="Bookman Old Style" w:hAnsi="Bookman Old Style" w:cs="Arial"/>
          <w:sz w:val="28"/>
          <w:szCs w:val="28"/>
          <w:lang w:val="el-GR"/>
        </w:rPr>
        <w:t>ει</w:t>
      </w:r>
      <w:r>
        <w:rPr>
          <w:rFonts w:ascii="Bookman Old Style" w:hAnsi="Bookman Old Style" w:cs="Arial"/>
          <w:sz w:val="28"/>
          <w:szCs w:val="28"/>
          <w:lang w:val="el-GR"/>
        </w:rPr>
        <w:t xml:space="preserve"> την ύπαρξη καλής και/ή ουσιαστικής και/ή συζητήσιμης υπεράσπισης επί της ουσίας της Αγωγής. Με τον </w:t>
      </w:r>
      <w:r>
        <w:rPr>
          <w:rFonts w:ascii="Bookman Old Style" w:hAnsi="Bookman Old Style" w:cs="Arial"/>
          <w:b/>
          <w:bCs/>
          <w:sz w:val="28"/>
          <w:szCs w:val="28"/>
          <w:lang w:val="el-GR"/>
        </w:rPr>
        <w:t>4</w:t>
      </w:r>
      <w:r w:rsidRPr="00423446">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προσβάλλεται ως λανθασμένο το συμπέρασμα του πρωτόδικου Δικαστηρίου ότι η επιβολή τελών στην υπό εξέταση περίπτωση θα μπορούσε να αμφισβητηθεί μόνο με την καταχώριση διοικητικής προσφυγής, δυνάμει του </w:t>
      </w:r>
      <w:r w:rsidRPr="0036525D">
        <w:rPr>
          <w:rFonts w:ascii="Bookman Old Style" w:hAnsi="Bookman Old Style" w:cs="Arial"/>
          <w:b/>
          <w:bCs/>
          <w:i/>
          <w:iCs/>
          <w:sz w:val="28"/>
          <w:szCs w:val="28"/>
          <w:lang w:val="el-GR"/>
        </w:rPr>
        <w:t>Άρθρου 146</w:t>
      </w:r>
      <w:r w:rsidRPr="0036525D">
        <w:rPr>
          <w:rFonts w:ascii="Bookman Old Style" w:hAnsi="Bookman Old Style" w:cs="Arial"/>
          <w:i/>
          <w:iCs/>
          <w:sz w:val="28"/>
          <w:szCs w:val="28"/>
          <w:lang w:val="el-GR"/>
        </w:rPr>
        <w:t xml:space="preserve"> </w:t>
      </w:r>
      <w:r w:rsidRPr="00777355">
        <w:rPr>
          <w:rFonts w:ascii="Bookman Old Style" w:hAnsi="Bookman Old Style" w:cs="Arial"/>
          <w:sz w:val="28"/>
          <w:szCs w:val="28"/>
          <w:lang w:val="el-GR"/>
        </w:rPr>
        <w:t>του</w:t>
      </w:r>
      <w:r w:rsidRPr="0036525D">
        <w:rPr>
          <w:rFonts w:ascii="Bookman Old Style" w:hAnsi="Bookman Old Style" w:cs="Arial"/>
          <w:b/>
          <w:bCs/>
          <w:i/>
          <w:iCs/>
          <w:sz w:val="28"/>
          <w:szCs w:val="28"/>
          <w:lang w:val="el-GR"/>
        </w:rPr>
        <w:t xml:space="preserve"> Συντάγματος</w:t>
      </w:r>
      <w:r>
        <w:rPr>
          <w:rFonts w:ascii="Bookman Old Style" w:hAnsi="Bookman Old Style" w:cs="Arial"/>
          <w:sz w:val="28"/>
          <w:szCs w:val="28"/>
          <w:lang w:val="el-GR"/>
        </w:rPr>
        <w:t xml:space="preserve">. </w:t>
      </w:r>
    </w:p>
    <w:p w14:paraId="77ACE109" w14:textId="77777777" w:rsidR="0096773D" w:rsidRDefault="0096773D" w:rsidP="0096773D">
      <w:pPr>
        <w:spacing w:line="480" w:lineRule="auto"/>
        <w:ind w:right="-35"/>
        <w:jc w:val="both"/>
        <w:rPr>
          <w:rFonts w:ascii="Bookman Old Style" w:hAnsi="Bookman Old Style" w:cs="Arial"/>
          <w:sz w:val="28"/>
          <w:szCs w:val="28"/>
          <w:lang w:val="el-GR"/>
        </w:rPr>
      </w:pPr>
    </w:p>
    <w:p w14:paraId="3E4218B8" w14:textId="2632C096"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Στο πλαίσιο των </w:t>
      </w:r>
      <w:r w:rsidRPr="004511AF">
        <w:rPr>
          <w:rFonts w:ascii="Bookman Old Style" w:hAnsi="Bookman Old Style" w:cs="Arial"/>
          <w:b/>
          <w:bCs/>
          <w:sz w:val="28"/>
          <w:szCs w:val="28"/>
          <w:lang w:val="el-GR"/>
        </w:rPr>
        <w:t>Λόγων Έφεσης 1</w:t>
      </w:r>
      <w:r>
        <w:rPr>
          <w:rFonts w:ascii="Bookman Old Style" w:hAnsi="Bookman Old Style" w:cs="Arial"/>
          <w:sz w:val="28"/>
          <w:szCs w:val="28"/>
          <w:lang w:val="el-GR"/>
        </w:rPr>
        <w:t xml:space="preserve"> και </w:t>
      </w:r>
      <w:r w:rsidRPr="004511AF">
        <w:rPr>
          <w:rFonts w:ascii="Bookman Old Style" w:hAnsi="Bookman Old Style" w:cs="Arial"/>
          <w:b/>
          <w:bCs/>
          <w:sz w:val="28"/>
          <w:szCs w:val="28"/>
          <w:lang w:val="el-GR"/>
        </w:rPr>
        <w:t>2</w:t>
      </w:r>
      <w:r>
        <w:rPr>
          <w:rFonts w:ascii="Bookman Old Style" w:hAnsi="Bookman Old Style" w:cs="Arial"/>
          <w:sz w:val="28"/>
          <w:szCs w:val="28"/>
          <w:lang w:val="el-GR"/>
        </w:rPr>
        <w:t xml:space="preserve">, οι οποίοι, όπως σωστά επισημαίνεται από πλευράς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είναι επάλληλοι και σχετικοί, υποστηρίχθηκε από πλευράς </w:t>
      </w:r>
      <w:proofErr w:type="spellStart"/>
      <w:r>
        <w:rPr>
          <w:rFonts w:ascii="Bookman Old Style" w:hAnsi="Bookman Old Style" w:cs="Arial"/>
          <w:sz w:val="28"/>
          <w:szCs w:val="28"/>
          <w:lang w:val="el-GR"/>
        </w:rPr>
        <w:t>Εφεσείο</w:t>
      </w:r>
      <w:r w:rsidR="0018265B">
        <w:rPr>
          <w:rFonts w:ascii="Bookman Old Style" w:hAnsi="Bookman Old Style" w:cs="Arial"/>
          <w:sz w:val="28"/>
          <w:szCs w:val="28"/>
          <w:lang w:val="el-GR"/>
        </w:rPr>
        <w:t>υσας</w:t>
      </w:r>
      <w:proofErr w:type="spellEnd"/>
      <w:r w:rsidR="0018265B">
        <w:rPr>
          <w:rFonts w:ascii="Bookman Old Style" w:hAnsi="Bookman Old Style" w:cs="Arial"/>
          <w:sz w:val="28"/>
          <w:szCs w:val="28"/>
          <w:lang w:val="el-GR"/>
        </w:rPr>
        <w:t xml:space="preserve"> ό</w:t>
      </w:r>
      <w:r>
        <w:rPr>
          <w:rFonts w:ascii="Bookman Old Style" w:hAnsi="Bookman Old Style" w:cs="Arial"/>
          <w:sz w:val="28"/>
          <w:szCs w:val="28"/>
          <w:lang w:val="el-GR"/>
        </w:rPr>
        <w:t xml:space="preserve">τι η πιο πάνω </w:t>
      </w:r>
      <w:proofErr w:type="spellStart"/>
      <w:r>
        <w:rPr>
          <w:rFonts w:ascii="Bookman Old Style" w:hAnsi="Bookman Old Style" w:cs="Arial"/>
          <w:sz w:val="28"/>
          <w:szCs w:val="28"/>
          <w:lang w:val="el-GR"/>
        </w:rPr>
        <w:t>αντίκριση</w:t>
      </w:r>
      <w:proofErr w:type="spellEnd"/>
      <w:r>
        <w:rPr>
          <w:rFonts w:ascii="Bookman Old Style" w:hAnsi="Bookman Old Style" w:cs="Arial"/>
          <w:sz w:val="28"/>
          <w:szCs w:val="28"/>
          <w:lang w:val="el-GR"/>
        </w:rPr>
        <w:t>, από πλευράς πρωτόδικου Δικαστηρίου, της φύσης των επίδικων τελών ήτο λανθασμένη. Η θέση τ</w:t>
      </w:r>
      <w:r w:rsidR="0018265B">
        <w:rPr>
          <w:rFonts w:ascii="Bookman Old Style" w:hAnsi="Bookman Old Style" w:cs="Arial"/>
          <w:sz w:val="28"/>
          <w:szCs w:val="28"/>
          <w:lang w:val="el-GR"/>
        </w:rPr>
        <w:t>ης</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Εφεσείο</w:t>
      </w:r>
      <w:r w:rsidR="0018265B">
        <w:rPr>
          <w:rFonts w:ascii="Bookman Old Style" w:hAnsi="Bookman Old Style" w:cs="Arial"/>
          <w:sz w:val="28"/>
          <w:szCs w:val="28"/>
          <w:lang w:val="el-GR"/>
        </w:rPr>
        <w:t>υσας</w:t>
      </w:r>
      <w:proofErr w:type="spellEnd"/>
      <w:r>
        <w:rPr>
          <w:rFonts w:ascii="Bookman Old Style" w:hAnsi="Bookman Old Style" w:cs="Arial"/>
          <w:sz w:val="28"/>
          <w:szCs w:val="28"/>
          <w:lang w:val="el-GR"/>
        </w:rPr>
        <w:t xml:space="preserve"> - και σε αντίθεση με όσα </w:t>
      </w:r>
      <w:proofErr w:type="spellStart"/>
      <w:r>
        <w:rPr>
          <w:rFonts w:ascii="Bookman Old Style" w:hAnsi="Bookman Old Style" w:cs="Arial"/>
          <w:sz w:val="28"/>
          <w:szCs w:val="28"/>
          <w:lang w:val="el-GR"/>
        </w:rPr>
        <w:t>προέταξαν</w:t>
      </w:r>
      <w:proofErr w:type="spellEnd"/>
      <w:r>
        <w:rPr>
          <w:rFonts w:ascii="Bookman Old Style" w:hAnsi="Bookman Old Style" w:cs="Arial"/>
          <w:sz w:val="28"/>
          <w:szCs w:val="28"/>
          <w:lang w:val="el-GR"/>
        </w:rPr>
        <w:t xml:space="preserve"> οι Εφεσίβλητοι υποστηρίζοντας το σύνολο της πρωτόδικης Απόφασης - είναι ότι το πρωτόδικο Δικαστήριο δεν έλαβε υπόψη το ορθό κριτήριο για την ταξινόμηση των επίδικων πράξεων στο ιδιωτικό ή στο δημόσιο δίκαιο και ότι, στην προκείμενη περίπτωση, το επίδικο τέλος συνιστούσε πράξη που </w:t>
      </w:r>
      <w:proofErr w:type="spellStart"/>
      <w:r>
        <w:rPr>
          <w:rFonts w:ascii="Bookman Old Style" w:hAnsi="Bookman Old Style" w:cs="Arial"/>
          <w:sz w:val="28"/>
          <w:szCs w:val="28"/>
          <w:lang w:val="el-GR"/>
        </w:rPr>
        <w:t>ανάγετο</w:t>
      </w:r>
      <w:proofErr w:type="spellEnd"/>
      <w:r>
        <w:rPr>
          <w:rFonts w:ascii="Bookman Old Style" w:hAnsi="Bookman Old Style" w:cs="Arial"/>
          <w:sz w:val="28"/>
          <w:szCs w:val="28"/>
          <w:lang w:val="el-GR"/>
        </w:rPr>
        <w:t xml:space="preserve"> στη </w:t>
      </w:r>
      <w:r>
        <w:rPr>
          <w:rFonts w:ascii="Bookman Old Style" w:hAnsi="Bookman Old Style" w:cs="Arial"/>
          <w:sz w:val="28"/>
          <w:szCs w:val="28"/>
          <w:lang w:val="el-GR"/>
        </w:rPr>
        <w:lastRenderedPageBreak/>
        <w:t>σφαίρα του ιδιωτικού δικαίου, αφού οι Εφεσίβλητοι επέβαλλαν τέλη στ</w:t>
      </w:r>
      <w:r w:rsidR="0018265B">
        <w:rPr>
          <w:rFonts w:ascii="Bookman Old Style" w:hAnsi="Bookman Old Style" w:cs="Arial"/>
          <w:sz w:val="28"/>
          <w:szCs w:val="28"/>
          <w:lang w:val="el-GR"/>
        </w:rPr>
        <w:t xml:space="preserve">ην </w:t>
      </w:r>
      <w:proofErr w:type="spellStart"/>
      <w:r w:rsidR="0018265B">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στο πλαίσιο της μεταξύ τους σχέσης, ενώ καμία σημασία ή ενδιαφέρον αυτό είχε για το ευρύ κοινό. Υποστηρίχθηκε, ακόμη, ότι το πρωτόδικο Δικαστήριο δεν έλαβε υπόψη τη μεταξύ των μερών σχέση, η οποία </w:t>
      </w:r>
      <w:proofErr w:type="spellStart"/>
      <w:r>
        <w:rPr>
          <w:rFonts w:ascii="Bookman Old Style" w:hAnsi="Bookman Old Style" w:cs="Arial"/>
          <w:sz w:val="28"/>
          <w:szCs w:val="28"/>
          <w:lang w:val="el-GR"/>
        </w:rPr>
        <w:t>ρυθμίζετο</w:t>
      </w:r>
      <w:proofErr w:type="spellEnd"/>
      <w:r>
        <w:rPr>
          <w:rFonts w:ascii="Bookman Old Style" w:hAnsi="Bookman Old Style" w:cs="Arial"/>
          <w:sz w:val="28"/>
          <w:szCs w:val="28"/>
          <w:lang w:val="el-GR"/>
        </w:rPr>
        <w:t xml:space="preserve">, εν προκειμένω, από το ιδιωτικό δίκαιο και ότι η διαπίστωση του ότι όλες οι αποφάσεις του Συμβουλίου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ήταν εκτελεστές διοικητικές πράξεις, δεν μπορούσε παρά να θεωρηθεί ως γενική και αυθαίρετη. Αποτέλεσε θέση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ότι το πρωτόδικο Δικαστήριο δεν </w:t>
      </w:r>
      <w:proofErr w:type="spellStart"/>
      <w:r>
        <w:rPr>
          <w:rFonts w:ascii="Bookman Old Style" w:hAnsi="Bookman Old Style" w:cs="Arial"/>
          <w:sz w:val="28"/>
          <w:szCs w:val="28"/>
          <w:lang w:val="el-GR"/>
        </w:rPr>
        <w:t>προέβηκε</w:t>
      </w:r>
      <w:proofErr w:type="spellEnd"/>
      <w:r>
        <w:rPr>
          <w:rFonts w:ascii="Bookman Old Style" w:hAnsi="Bookman Old Style" w:cs="Arial"/>
          <w:sz w:val="28"/>
          <w:szCs w:val="28"/>
          <w:lang w:val="el-GR"/>
        </w:rPr>
        <w:t xml:space="preserve"> επαρκώς και/ή καθόλου στην ανάλυση κατά πόσο η επίδικη πράξη επιβολής των εν λόγω τελών ενέπιπτε εντός της σφαίρας του ιδιωτικού ή του δημοσίου δικαίου και ότι, απλώς, κατέληξε στο συμπέρασμα ότι τα επίδικα τέλη συνιστούσαν εκτελεστή διοικητική πράξη βασίζοντας την απόφαση του στη φύση των εργασιών και τη λειτουργία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γενικά και, ειδικότερα, τη ζωτική σημασία που έχει το Χρηματιστήριο για την οικονομία και δημόσια πράγματα του τόπου</w:t>
      </w:r>
      <w:r w:rsidR="0018265B">
        <w:rPr>
          <w:rFonts w:ascii="Bookman Old Style" w:hAnsi="Bookman Old Style" w:cs="Arial"/>
          <w:sz w:val="28"/>
          <w:szCs w:val="28"/>
          <w:lang w:val="el-GR"/>
        </w:rPr>
        <w:t>,</w:t>
      </w:r>
      <w:r>
        <w:rPr>
          <w:rFonts w:ascii="Bookman Old Style" w:hAnsi="Bookman Old Style" w:cs="Arial"/>
          <w:sz w:val="28"/>
          <w:szCs w:val="28"/>
          <w:lang w:val="el-GR"/>
        </w:rPr>
        <w:t xml:space="preserve"> καθώς και στη σχετική νομοθεσία και κανονισμούς.</w:t>
      </w:r>
    </w:p>
    <w:p w14:paraId="08BB2DD4" w14:textId="77777777" w:rsidR="0096773D" w:rsidRDefault="0096773D" w:rsidP="0096773D">
      <w:pPr>
        <w:spacing w:line="480" w:lineRule="auto"/>
        <w:ind w:right="-35"/>
        <w:jc w:val="both"/>
        <w:rPr>
          <w:rFonts w:ascii="Bookman Old Style" w:hAnsi="Bookman Old Style" w:cs="Arial"/>
          <w:sz w:val="28"/>
          <w:szCs w:val="28"/>
          <w:lang w:val="el-GR"/>
        </w:rPr>
      </w:pPr>
    </w:p>
    <w:p w14:paraId="0FD9CF79" w14:textId="658AD167"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καθοδήγηση του πρωτόδικου Δικαστηρίου ως προς τις αρχές της νομολογίας που αφορούν στα κριτήρια που λαμβάνονται υπόψη για </w:t>
      </w:r>
      <w:r>
        <w:rPr>
          <w:rFonts w:ascii="Bookman Old Style" w:hAnsi="Bookman Old Style" w:cs="Arial"/>
          <w:sz w:val="28"/>
          <w:szCs w:val="28"/>
          <w:lang w:val="el-GR"/>
        </w:rPr>
        <w:lastRenderedPageBreak/>
        <w:t xml:space="preserve">την αξιολόγηση του κατά πόσο μία πράξη εμπίπτει στον τομέα του δημοσίου δικαίου ή σε εκείνο του ιδιωτικού δικαίου, ήτο απολύτως ορθή. Με παραπομπή, μεταξύ άλλων, στις αποφάσεις </w:t>
      </w:r>
      <w:r>
        <w:rPr>
          <w:rFonts w:ascii="Bookman Old Style" w:hAnsi="Bookman Old Style" w:cs="Arial"/>
          <w:b/>
          <w:bCs/>
          <w:i/>
          <w:iCs/>
          <w:sz w:val="28"/>
          <w:szCs w:val="28"/>
          <w:lang w:val="en-US"/>
        </w:rPr>
        <w:t>Shoham</w:t>
      </w:r>
      <w:r w:rsidRPr="00446F17">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Cyprus</w:t>
      </w:r>
      <w:r w:rsidRPr="00446F17">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Ltd</w:t>
      </w:r>
      <w:r w:rsidRPr="00446F17">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v</w:t>
      </w:r>
      <w:r w:rsidRPr="00446F17">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Αρχής Λιμένων Κύπρου (2001) 1 Α.Α.Δ. 404</w:t>
      </w:r>
      <w:r w:rsidRPr="00FA53C9">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και </w:t>
      </w:r>
      <w:r w:rsidRPr="00446F17">
        <w:rPr>
          <w:rFonts w:ascii="Bookman Old Style" w:hAnsi="Bookman Old Style" w:cs="Arial"/>
          <w:b/>
          <w:bCs/>
          <w:i/>
          <w:iCs/>
          <w:sz w:val="28"/>
          <w:szCs w:val="28"/>
          <w:lang w:val="en-US"/>
        </w:rPr>
        <w:t>Niazi</w:t>
      </w:r>
      <w:r w:rsidRPr="00446F17">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v</w:t>
      </w:r>
      <w:r w:rsidRPr="00446F17">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Δημοκρατίας (</w:t>
      </w:r>
      <w:proofErr w:type="spellStart"/>
      <w:r>
        <w:rPr>
          <w:rFonts w:ascii="Bookman Old Style" w:hAnsi="Bookman Old Style" w:cs="Arial"/>
          <w:b/>
          <w:bCs/>
          <w:i/>
          <w:iCs/>
          <w:sz w:val="28"/>
          <w:szCs w:val="28"/>
          <w:lang w:val="el-GR"/>
        </w:rPr>
        <w:t>Αρ</w:t>
      </w:r>
      <w:proofErr w:type="spellEnd"/>
      <w:r>
        <w:rPr>
          <w:rFonts w:ascii="Bookman Old Style" w:hAnsi="Bookman Old Style" w:cs="Arial"/>
          <w:b/>
          <w:bCs/>
          <w:i/>
          <w:iCs/>
          <w:sz w:val="28"/>
          <w:szCs w:val="28"/>
          <w:lang w:val="el-GR"/>
        </w:rPr>
        <w:t>. 1) (2009) 3 Α.Α.Δ. 218</w:t>
      </w:r>
      <w:r>
        <w:rPr>
          <w:rFonts w:ascii="Bookman Old Style" w:hAnsi="Bookman Old Style" w:cs="Arial"/>
          <w:sz w:val="28"/>
          <w:szCs w:val="28"/>
          <w:lang w:val="el-GR"/>
        </w:rPr>
        <w:t xml:space="preserve">, το </w:t>
      </w:r>
      <w:r w:rsidR="0018265B">
        <w:rPr>
          <w:rFonts w:ascii="Bookman Old Style" w:hAnsi="Bookman Old Style" w:cs="Arial"/>
          <w:sz w:val="28"/>
          <w:szCs w:val="28"/>
          <w:lang w:val="el-GR"/>
        </w:rPr>
        <w:t>π</w:t>
      </w:r>
      <w:r>
        <w:rPr>
          <w:rFonts w:ascii="Bookman Old Style" w:hAnsi="Bookman Old Style" w:cs="Arial"/>
          <w:sz w:val="28"/>
          <w:szCs w:val="28"/>
          <w:lang w:val="el-GR"/>
        </w:rPr>
        <w:t xml:space="preserve">ρωτόδικο Δικαστήριο επεσήμανε ότι η φύση, ο χαρακτήρας της πράξης και ο σκοπός στον οποίο αποβλέπει να εξυπηρετήσει η συγκεκριμένη πράξη, καθώς και το ενδιαφέρον που επιδεικνύει το κοινό στην άσκηση της συγκεκριμένης λειτουργίας από το όργανο που εξέδωσε την πράξη, αποτελούν κριτήρια που λαμβάνονται υπόψη για να κριθεί κατά πόσο το διοικητικό όργανο ενεργεί είτε εντός της σφαίρας του ιδιωτικού δικαίου, είτε εντός της σφαίρας του δημοσίου δικαίου. </w:t>
      </w:r>
    </w:p>
    <w:p w14:paraId="31F903F0" w14:textId="77777777" w:rsidR="0096773D" w:rsidRDefault="0096773D" w:rsidP="0096773D">
      <w:pPr>
        <w:spacing w:line="480" w:lineRule="auto"/>
        <w:ind w:right="-35"/>
        <w:jc w:val="both"/>
        <w:rPr>
          <w:rFonts w:ascii="Bookman Old Style" w:hAnsi="Bookman Old Style" w:cs="Arial"/>
          <w:sz w:val="28"/>
          <w:szCs w:val="28"/>
          <w:lang w:val="el-GR"/>
        </w:rPr>
      </w:pPr>
    </w:p>
    <w:p w14:paraId="3918E3C2" w14:textId="77777777" w:rsidR="0096773D" w:rsidRPr="00FA53C9" w:rsidRDefault="0096773D" w:rsidP="0096773D">
      <w:pPr>
        <w:spacing w:line="480" w:lineRule="auto"/>
        <w:jc w:val="both"/>
        <w:rPr>
          <w:rFonts w:ascii="Bookman Old Style" w:hAnsi="Bookman Old Style"/>
          <w:sz w:val="28"/>
          <w:szCs w:val="28"/>
          <w:lang w:val="el-GR"/>
        </w:rPr>
      </w:pPr>
      <w:r w:rsidRPr="00CD2EF2">
        <w:rPr>
          <w:rFonts w:ascii="Bookman Old Style" w:hAnsi="Bookman Old Style"/>
          <w:sz w:val="28"/>
          <w:szCs w:val="28"/>
          <w:lang w:val="el-GR"/>
        </w:rPr>
        <w:t>Σχετική επί του προκειμένου είναι</w:t>
      </w:r>
      <w:r>
        <w:rPr>
          <w:rFonts w:ascii="Bookman Old Style" w:hAnsi="Bookman Old Style"/>
          <w:sz w:val="28"/>
          <w:szCs w:val="28"/>
          <w:lang w:val="el-GR"/>
        </w:rPr>
        <w:t xml:space="preserve"> και</w:t>
      </w:r>
      <w:r w:rsidRPr="00CD2EF2">
        <w:rPr>
          <w:rFonts w:ascii="Bookman Old Style" w:hAnsi="Bookman Old Style"/>
          <w:sz w:val="28"/>
          <w:szCs w:val="28"/>
          <w:lang w:val="el-GR"/>
        </w:rPr>
        <w:t xml:space="preserve"> η απόφαση στην </w:t>
      </w:r>
      <w:r w:rsidRPr="00CD2EF2">
        <w:rPr>
          <w:rFonts w:ascii="Bookman Old Style" w:hAnsi="Bookman Old Style"/>
          <w:b/>
          <w:bCs/>
          <w:i/>
          <w:iCs/>
          <w:sz w:val="28"/>
          <w:szCs w:val="28"/>
          <w:lang w:val="el-GR"/>
        </w:rPr>
        <w:t>Ναυτικός Όμιλος Πάφου ν. Αρχής Λιμένων Κύπρου (1992) 1 Α.Α.Δ. 882</w:t>
      </w:r>
      <w:r w:rsidRPr="00CD2EF2">
        <w:rPr>
          <w:rFonts w:ascii="Bookman Old Style" w:hAnsi="Bookman Old Style"/>
          <w:sz w:val="28"/>
          <w:szCs w:val="28"/>
          <w:lang w:val="el-GR"/>
        </w:rPr>
        <w:t xml:space="preserve"> (απόφαση </w:t>
      </w:r>
      <w:proofErr w:type="spellStart"/>
      <w:r w:rsidRPr="00CD2EF2">
        <w:rPr>
          <w:rFonts w:ascii="Bookman Old Style" w:hAnsi="Bookman Old Style"/>
          <w:sz w:val="28"/>
          <w:szCs w:val="28"/>
          <w:lang w:val="el-GR"/>
        </w:rPr>
        <w:t>Πική</w:t>
      </w:r>
      <w:proofErr w:type="spellEnd"/>
      <w:r w:rsidRPr="00CD2EF2">
        <w:rPr>
          <w:rFonts w:ascii="Bookman Old Style" w:hAnsi="Bookman Old Style"/>
          <w:sz w:val="28"/>
          <w:szCs w:val="28"/>
          <w:lang w:val="el-GR"/>
        </w:rPr>
        <w:t>, Δ. – όπως ήταν τότε)</w:t>
      </w:r>
      <w:r>
        <w:rPr>
          <w:rFonts w:ascii="Bookman Old Style" w:hAnsi="Bookman Old Style"/>
          <w:sz w:val="28"/>
          <w:szCs w:val="28"/>
          <w:lang w:val="el-GR"/>
        </w:rPr>
        <w:t xml:space="preserve"> όπου λέχθηκαν, μεταξύ άλλων τα ακόλουθα</w:t>
      </w:r>
      <w:r w:rsidRPr="00CD2EF2">
        <w:rPr>
          <w:rFonts w:ascii="Bookman Old Style" w:hAnsi="Bookman Old Style"/>
          <w:sz w:val="28"/>
          <w:szCs w:val="28"/>
          <w:lang w:val="el-GR"/>
        </w:rPr>
        <w:t>:</w:t>
      </w:r>
      <w:r w:rsidRPr="00CD2EF2">
        <w:rPr>
          <w:rFonts w:ascii="Bookman Old Style" w:hAnsi="Bookman Old Style"/>
          <w:sz w:val="28"/>
          <w:szCs w:val="28"/>
        </w:rPr>
        <w:t> </w:t>
      </w:r>
    </w:p>
    <w:p w14:paraId="0AE64D97" w14:textId="77777777" w:rsidR="0096773D" w:rsidRPr="00CD2EF2" w:rsidRDefault="0096773D" w:rsidP="0096773D">
      <w:pPr>
        <w:spacing w:line="480" w:lineRule="auto"/>
        <w:jc w:val="both"/>
        <w:rPr>
          <w:rFonts w:ascii="Bookman Old Style" w:hAnsi="Bookman Old Style"/>
          <w:sz w:val="28"/>
          <w:szCs w:val="28"/>
          <w:lang w:val="el-GR"/>
        </w:rPr>
      </w:pPr>
    </w:p>
    <w:p w14:paraId="403B519A" w14:textId="2549B586" w:rsidR="0096773D" w:rsidRDefault="0096773D" w:rsidP="0096773D">
      <w:pPr>
        <w:spacing w:line="276" w:lineRule="auto"/>
        <w:ind w:left="426" w:right="390"/>
        <w:jc w:val="both"/>
        <w:rPr>
          <w:rFonts w:ascii="Bookman Old Style" w:hAnsi="Bookman Old Style"/>
          <w:sz w:val="26"/>
          <w:szCs w:val="26"/>
          <w:lang w:val="el-GR"/>
        </w:rPr>
      </w:pPr>
      <w:r w:rsidRPr="00CD2EF2">
        <w:rPr>
          <w:rFonts w:ascii="Bookman Old Style" w:hAnsi="Bookman Old Style"/>
          <w:sz w:val="26"/>
          <w:szCs w:val="26"/>
          <w:lang w:val="el-GR"/>
        </w:rPr>
        <w:t xml:space="preserve">«... ... </w:t>
      </w:r>
      <w:r w:rsidRPr="00CD2EF2">
        <w:rPr>
          <w:rFonts w:ascii="Bookman Old Style" w:hAnsi="Bookman Old Style"/>
          <w:i/>
          <w:iCs/>
          <w:sz w:val="26"/>
          <w:szCs w:val="26"/>
          <w:lang w:val="el-GR"/>
        </w:rPr>
        <w:t xml:space="preserve">Εμπειρική υπήρξε η προσέγγιση στην ταξινόμηση των διοικητικών πράξεων ως προς το πεδίο δικαίου, δημόσιο ή ιδιωτικό, στο οποίο επενεργούν. Η ουσία και όχι ο τύπος ή η μορφή την οποία λαμβάνει η πράξη, συνιστά το κριτήριο για την κατάταξή τους σε πράξεις εξουσίας ή πράξεις διαχείρισης. Η διάκριση των δυο τομέων δικαίου και τα κριτήρια για το διαχωρισμό τους, απασχόλησαν το </w:t>
      </w:r>
      <w:r w:rsidRPr="00CD2EF2">
        <w:rPr>
          <w:rFonts w:ascii="Bookman Old Style" w:hAnsi="Bookman Old Style"/>
          <w:i/>
          <w:iCs/>
          <w:sz w:val="26"/>
          <w:szCs w:val="26"/>
          <w:lang w:val="el-GR"/>
        </w:rPr>
        <w:lastRenderedPageBreak/>
        <w:t xml:space="preserve">Ανώτατο Δικαστήριο ειδικά στην </w:t>
      </w:r>
      <w:r w:rsidRPr="00CD2EF2">
        <w:rPr>
          <w:rFonts w:ascii="Bookman Old Style" w:hAnsi="Bookman Old Style"/>
          <w:b/>
          <w:bCs/>
          <w:i/>
          <w:iCs/>
          <w:sz w:val="26"/>
          <w:szCs w:val="26"/>
        </w:rPr>
        <w:t>Antoniou</w:t>
      </w:r>
      <w:r w:rsidRPr="00CD2EF2">
        <w:rPr>
          <w:rFonts w:ascii="Bookman Old Style" w:hAnsi="Bookman Old Style"/>
          <w:b/>
          <w:bCs/>
          <w:i/>
          <w:iCs/>
          <w:sz w:val="26"/>
          <w:szCs w:val="26"/>
          <w:lang w:val="el-GR"/>
        </w:rPr>
        <w:t xml:space="preserve"> </w:t>
      </w:r>
      <w:r w:rsidRPr="00CD2EF2">
        <w:rPr>
          <w:rFonts w:ascii="Bookman Old Style" w:hAnsi="Bookman Old Style"/>
          <w:b/>
          <w:bCs/>
          <w:i/>
          <w:iCs/>
          <w:sz w:val="26"/>
          <w:szCs w:val="26"/>
        </w:rPr>
        <w:t>and</w:t>
      </w:r>
      <w:r w:rsidRPr="00CD2EF2">
        <w:rPr>
          <w:rFonts w:ascii="Bookman Old Style" w:hAnsi="Bookman Old Style"/>
          <w:b/>
          <w:bCs/>
          <w:i/>
          <w:iCs/>
          <w:sz w:val="26"/>
          <w:szCs w:val="26"/>
          <w:lang w:val="el-GR"/>
        </w:rPr>
        <w:t xml:space="preserve"> </w:t>
      </w:r>
      <w:r w:rsidRPr="00CD2EF2">
        <w:rPr>
          <w:rFonts w:ascii="Bookman Old Style" w:hAnsi="Bookman Old Style"/>
          <w:b/>
          <w:bCs/>
          <w:i/>
          <w:iCs/>
          <w:sz w:val="26"/>
          <w:szCs w:val="26"/>
        </w:rPr>
        <w:t>Others</w:t>
      </w:r>
      <w:r w:rsidRPr="00CD2EF2">
        <w:rPr>
          <w:rFonts w:ascii="Bookman Old Style" w:hAnsi="Bookman Old Style"/>
          <w:b/>
          <w:bCs/>
          <w:i/>
          <w:iCs/>
          <w:sz w:val="26"/>
          <w:szCs w:val="26"/>
          <w:lang w:val="el-GR"/>
        </w:rPr>
        <w:t xml:space="preserve"> </w:t>
      </w:r>
      <w:r w:rsidRPr="00CD2EF2">
        <w:rPr>
          <w:rFonts w:ascii="Bookman Old Style" w:hAnsi="Bookman Old Style"/>
          <w:b/>
          <w:bCs/>
          <w:i/>
          <w:iCs/>
          <w:sz w:val="26"/>
          <w:szCs w:val="26"/>
        </w:rPr>
        <w:t>v</w:t>
      </w:r>
      <w:r w:rsidRPr="00CD2EF2">
        <w:rPr>
          <w:rFonts w:ascii="Bookman Old Style" w:hAnsi="Bookman Old Style"/>
          <w:b/>
          <w:bCs/>
          <w:i/>
          <w:iCs/>
          <w:sz w:val="26"/>
          <w:szCs w:val="26"/>
          <w:lang w:val="el-GR"/>
        </w:rPr>
        <w:t xml:space="preserve">. </w:t>
      </w:r>
      <w:r w:rsidRPr="00CD2EF2">
        <w:rPr>
          <w:rFonts w:ascii="Bookman Old Style" w:hAnsi="Bookman Old Style"/>
          <w:b/>
          <w:bCs/>
          <w:i/>
          <w:iCs/>
          <w:sz w:val="26"/>
          <w:szCs w:val="26"/>
        </w:rPr>
        <w:t>Republic</w:t>
      </w:r>
      <w:r w:rsidRPr="00CD2EF2">
        <w:rPr>
          <w:rFonts w:ascii="Bookman Old Style" w:hAnsi="Bookman Old Style"/>
          <w:b/>
          <w:bCs/>
          <w:i/>
          <w:iCs/>
          <w:sz w:val="26"/>
          <w:szCs w:val="26"/>
          <w:lang w:val="el-GR"/>
        </w:rPr>
        <w:t xml:space="preserve"> (1984) 3 </w:t>
      </w:r>
      <w:r w:rsidRPr="00CD2EF2">
        <w:rPr>
          <w:rFonts w:ascii="Bookman Old Style" w:hAnsi="Bookman Old Style"/>
          <w:b/>
          <w:bCs/>
          <w:i/>
          <w:iCs/>
          <w:sz w:val="26"/>
          <w:szCs w:val="26"/>
        </w:rPr>
        <w:t>C</w:t>
      </w:r>
      <w:r w:rsidRPr="00CD2EF2">
        <w:rPr>
          <w:rFonts w:ascii="Bookman Old Style" w:hAnsi="Bookman Old Style"/>
          <w:b/>
          <w:bCs/>
          <w:i/>
          <w:iCs/>
          <w:sz w:val="26"/>
          <w:szCs w:val="26"/>
          <w:lang w:val="el-GR"/>
        </w:rPr>
        <w:t>.</w:t>
      </w:r>
      <w:r w:rsidRPr="00CD2EF2">
        <w:rPr>
          <w:rFonts w:ascii="Bookman Old Style" w:hAnsi="Bookman Old Style"/>
          <w:b/>
          <w:bCs/>
          <w:i/>
          <w:iCs/>
          <w:sz w:val="26"/>
          <w:szCs w:val="26"/>
        </w:rPr>
        <w:t>L</w:t>
      </w:r>
      <w:r w:rsidRPr="00CD2EF2">
        <w:rPr>
          <w:rFonts w:ascii="Bookman Old Style" w:hAnsi="Bookman Old Style"/>
          <w:b/>
          <w:bCs/>
          <w:i/>
          <w:iCs/>
          <w:sz w:val="26"/>
          <w:szCs w:val="26"/>
          <w:lang w:val="el-GR"/>
        </w:rPr>
        <w:t>.</w:t>
      </w:r>
      <w:r w:rsidRPr="00CD2EF2">
        <w:rPr>
          <w:rFonts w:ascii="Bookman Old Style" w:hAnsi="Bookman Old Style"/>
          <w:b/>
          <w:bCs/>
          <w:i/>
          <w:iCs/>
          <w:sz w:val="26"/>
          <w:szCs w:val="26"/>
        </w:rPr>
        <w:t>R</w:t>
      </w:r>
      <w:r w:rsidRPr="00CD2EF2">
        <w:rPr>
          <w:rFonts w:ascii="Bookman Old Style" w:hAnsi="Bookman Old Style"/>
          <w:b/>
          <w:bCs/>
          <w:i/>
          <w:iCs/>
          <w:sz w:val="26"/>
          <w:szCs w:val="26"/>
          <w:lang w:val="el-GR"/>
        </w:rPr>
        <w:t>. 623</w:t>
      </w:r>
      <w:r w:rsidRPr="00CD2EF2">
        <w:rPr>
          <w:rFonts w:ascii="Bookman Old Style" w:hAnsi="Bookman Old Style"/>
          <w:i/>
          <w:iCs/>
          <w:sz w:val="26"/>
          <w:szCs w:val="26"/>
          <w:lang w:val="el-GR"/>
        </w:rPr>
        <w:t xml:space="preserve">, και </w:t>
      </w:r>
      <w:proofErr w:type="spellStart"/>
      <w:r w:rsidRPr="00CD2EF2">
        <w:rPr>
          <w:rFonts w:ascii="Bookman Old Style" w:hAnsi="Bookman Old Style"/>
          <w:b/>
          <w:bCs/>
          <w:i/>
          <w:iCs/>
          <w:sz w:val="26"/>
          <w:szCs w:val="26"/>
        </w:rPr>
        <w:t>Machlouzarides</w:t>
      </w:r>
      <w:proofErr w:type="spellEnd"/>
      <w:r w:rsidRPr="00CD2EF2">
        <w:rPr>
          <w:rFonts w:ascii="Bookman Old Style" w:hAnsi="Bookman Old Style"/>
          <w:b/>
          <w:bCs/>
          <w:i/>
          <w:iCs/>
          <w:sz w:val="26"/>
          <w:szCs w:val="26"/>
          <w:lang w:val="el-GR"/>
        </w:rPr>
        <w:t xml:space="preserve"> </w:t>
      </w:r>
      <w:r w:rsidRPr="00CD2EF2">
        <w:rPr>
          <w:rFonts w:ascii="Bookman Old Style" w:hAnsi="Bookman Old Style"/>
          <w:b/>
          <w:bCs/>
          <w:i/>
          <w:iCs/>
          <w:sz w:val="26"/>
          <w:szCs w:val="26"/>
        </w:rPr>
        <w:t>v</w:t>
      </w:r>
      <w:r w:rsidRPr="00CD2EF2">
        <w:rPr>
          <w:rFonts w:ascii="Bookman Old Style" w:hAnsi="Bookman Old Style"/>
          <w:b/>
          <w:bCs/>
          <w:i/>
          <w:iCs/>
          <w:sz w:val="26"/>
          <w:szCs w:val="26"/>
          <w:lang w:val="el-GR"/>
        </w:rPr>
        <w:t xml:space="preserve">. </w:t>
      </w:r>
      <w:r w:rsidRPr="00CD2EF2">
        <w:rPr>
          <w:rFonts w:ascii="Bookman Old Style" w:hAnsi="Bookman Old Style"/>
          <w:b/>
          <w:bCs/>
          <w:i/>
          <w:iCs/>
          <w:sz w:val="26"/>
          <w:szCs w:val="26"/>
        </w:rPr>
        <w:t>Republic</w:t>
      </w:r>
      <w:r w:rsidRPr="00CD2EF2">
        <w:rPr>
          <w:rFonts w:ascii="Bookman Old Style" w:hAnsi="Bookman Old Style"/>
          <w:b/>
          <w:bCs/>
          <w:i/>
          <w:iCs/>
          <w:sz w:val="26"/>
          <w:szCs w:val="26"/>
          <w:lang w:val="el-GR"/>
        </w:rPr>
        <w:t xml:space="preserve"> (1985) </w:t>
      </w:r>
      <w:r w:rsidR="0018265B">
        <w:rPr>
          <w:rFonts w:ascii="Bookman Old Style" w:hAnsi="Bookman Old Style"/>
          <w:b/>
          <w:bCs/>
          <w:i/>
          <w:iCs/>
          <w:sz w:val="26"/>
          <w:szCs w:val="26"/>
          <w:lang w:val="el-GR"/>
        </w:rPr>
        <w:t xml:space="preserve">           </w:t>
      </w:r>
      <w:r w:rsidRPr="00CD2EF2">
        <w:rPr>
          <w:rFonts w:ascii="Bookman Old Style" w:hAnsi="Bookman Old Style"/>
          <w:b/>
          <w:bCs/>
          <w:i/>
          <w:iCs/>
          <w:sz w:val="26"/>
          <w:szCs w:val="26"/>
          <w:lang w:val="el-GR"/>
        </w:rPr>
        <w:t xml:space="preserve">3 </w:t>
      </w:r>
      <w:r w:rsidRPr="00CD2EF2">
        <w:rPr>
          <w:rFonts w:ascii="Bookman Old Style" w:hAnsi="Bookman Old Style"/>
          <w:b/>
          <w:bCs/>
          <w:i/>
          <w:iCs/>
          <w:sz w:val="26"/>
          <w:szCs w:val="26"/>
        </w:rPr>
        <w:t>C</w:t>
      </w:r>
      <w:r w:rsidRPr="00CD2EF2">
        <w:rPr>
          <w:rFonts w:ascii="Bookman Old Style" w:hAnsi="Bookman Old Style"/>
          <w:b/>
          <w:bCs/>
          <w:i/>
          <w:iCs/>
          <w:sz w:val="26"/>
          <w:szCs w:val="26"/>
          <w:lang w:val="el-GR"/>
        </w:rPr>
        <w:t>.</w:t>
      </w:r>
      <w:r w:rsidRPr="00CD2EF2">
        <w:rPr>
          <w:rFonts w:ascii="Bookman Old Style" w:hAnsi="Bookman Old Style"/>
          <w:b/>
          <w:bCs/>
          <w:i/>
          <w:iCs/>
          <w:sz w:val="26"/>
          <w:szCs w:val="26"/>
        </w:rPr>
        <w:t>L</w:t>
      </w:r>
      <w:r w:rsidRPr="00CD2EF2">
        <w:rPr>
          <w:rFonts w:ascii="Bookman Old Style" w:hAnsi="Bookman Old Style"/>
          <w:b/>
          <w:bCs/>
          <w:i/>
          <w:iCs/>
          <w:sz w:val="26"/>
          <w:szCs w:val="26"/>
          <w:lang w:val="el-GR"/>
        </w:rPr>
        <w:t>.</w:t>
      </w:r>
      <w:r w:rsidRPr="00CD2EF2">
        <w:rPr>
          <w:rFonts w:ascii="Bookman Old Style" w:hAnsi="Bookman Old Style"/>
          <w:b/>
          <w:bCs/>
          <w:i/>
          <w:iCs/>
          <w:sz w:val="26"/>
          <w:szCs w:val="26"/>
        </w:rPr>
        <w:t>R</w:t>
      </w:r>
      <w:r w:rsidRPr="00CD2EF2">
        <w:rPr>
          <w:rFonts w:ascii="Bookman Old Style" w:hAnsi="Bookman Old Style"/>
          <w:b/>
          <w:bCs/>
          <w:i/>
          <w:iCs/>
          <w:sz w:val="26"/>
          <w:szCs w:val="26"/>
          <w:lang w:val="el-GR"/>
        </w:rPr>
        <w:t>. 2342</w:t>
      </w:r>
      <w:r w:rsidRPr="00CD2EF2">
        <w:rPr>
          <w:rFonts w:ascii="Bookman Old Style" w:hAnsi="Bookman Old Style"/>
          <w:i/>
          <w:iCs/>
          <w:sz w:val="26"/>
          <w:szCs w:val="26"/>
          <w:lang w:val="el-GR"/>
        </w:rPr>
        <w:t>. Ο σκοπός για τον οποίο λαμβάνεται η απόφαση, ή γίνεται πράξη σε συνάρτηση με τις εξουσίες δημόσιας αρχής, αποτελεί το γνώμονα για την ταξινόμησή τους στο ένα ή στο άλλο πεδίο του δικαίου. Εφόσον η πράξη ανάγεται ή σχετίζεται με την επίτευξη των σκοπών δημόσιας αρχής ή οργάνου, αυτή επενεργεί στον τομέα του δημόσιου δικαίου. Δημόσιος σκοπός είναι εκείνος για τον οποίο εξ αντικειμένου το κοινό ή τμήμα του έχουν εκ της φύσεως των πραγμάτων συμφέρον στην ευόδωσή του</w:t>
      </w:r>
      <w:r w:rsidR="0018265B">
        <w:rPr>
          <w:rFonts w:ascii="Bookman Old Style" w:hAnsi="Bookman Old Style"/>
          <w:i/>
          <w:iCs/>
          <w:sz w:val="26"/>
          <w:szCs w:val="26"/>
          <w:lang w:val="el-GR"/>
        </w:rPr>
        <w:t>.</w:t>
      </w:r>
      <w:r>
        <w:rPr>
          <w:rFonts w:ascii="Bookman Old Style" w:hAnsi="Bookman Old Style"/>
          <w:sz w:val="26"/>
          <w:szCs w:val="26"/>
          <w:lang w:val="el-GR"/>
        </w:rPr>
        <w:t>»</w:t>
      </w:r>
    </w:p>
    <w:p w14:paraId="3EB6602E" w14:textId="77777777" w:rsidR="0096773D" w:rsidRDefault="0096773D" w:rsidP="0096773D">
      <w:pPr>
        <w:spacing w:line="276" w:lineRule="auto"/>
        <w:ind w:left="426" w:right="390"/>
        <w:jc w:val="both"/>
        <w:rPr>
          <w:rFonts w:ascii="Bookman Old Style" w:hAnsi="Bookman Old Style"/>
          <w:sz w:val="26"/>
          <w:szCs w:val="26"/>
          <w:lang w:val="el-GR"/>
        </w:rPr>
      </w:pPr>
    </w:p>
    <w:p w14:paraId="75949961" w14:textId="77777777" w:rsidR="0096773D" w:rsidRPr="00CD2EF2" w:rsidRDefault="0096773D" w:rsidP="0096773D">
      <w:pPr>
        <w:spacing w:line="276" w:lineRule="auto"/>
        <w:ind w:left="426" w:right="390"/>
        <w:jc w:val="both"/>
        <w:rPr>
          <w:rFonts w:ascii="Bookman Old Style" w:hAnsi="Bookman Old Style"/>
          <w:sz w:val="26"/>
          <w:szCs w:val="26"/>
          <w:lang w:val="el-GR"/>
        </w:rPr>
      </w:pPr>
    </w:p>
    <w:p w14:paraId="60CD01D1" w14:textId="46CEBC42"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Ως προς τη γενικότερη θεώρηση της διάκρισης μεταξύ ιδιωτικού και δημόσιου δικαίου</w:t>
      </w:r>
      <w:r w:rsidRPr="00C849BB">
        <w:rPr>
          <w:rFonts w:ascii="Bookman Old Style" w:hAnsi="Bookman Old Style" w:cs="Arial"/>
          <w:sz w:val="28"/>
          <w:szCs w:val="28"/>
          <w:lang w:val="el-GR"/>
        </w:rPr>
        <w:t>,</w:t>
      </w:r>
      <w:r>
        <w:rPr>
          <w:rFonts w:ascii="Bookman Old Style" w:hAnsi="Bookman Old Style" w:cs="Arial"/>
          <w:sz w:val="28"/>
          <w:szCs w:val="28"/>
          <w:lang w:val="el-GR"/>
        </w:rPr>
        <w:t xml:space="preserve"> σ</w:t>
      </w:r>
      <w:r w:rsidR="00777355">
        <w:rPr>
          <w:rFonts w:ascii="Bookman Old Style" w:hAnsi="Bookman Old Style" w:cs="Arial"/>
          <w:sz w:val="28"/>
          <w:szCs w:val="28"/>
          <w:lang w:val="el-GR"/>
        </w:rPr>
        <w:t>ε</w:t>
      </w:r>
      <w:r>
        <w:rPr>
          <w:rFonts w:ascii="Bookman Old Style" w:hAnsi="Bookman Old Style" w:cs="Arial"/>
          <w:sz w:val="28"/>
          <w:szCs w:val="28"/>
          <w:lang w:val="el-GR"/>
        </w:rPr>
        <w:t xml:space="preserve"> πιο πρόσφατη νομολογία</w:t>
      </w:r>
      <w:r w:rsidR="00777355">
        <w:rPr>
          <w:rFonts w:ascii="Bookman Old Style" w:hAnsi="Bookman Old Style" w:cs="Arial"/>
          <w:sz w:val="28"/>
          <w:szCs w:val="28"/>
          <w:lang w:val="el-GR"/>
        </w:rPr>
        <w:t xml:space="preserve"> και συγκεκριμένα στ</w:t>
      </w:r>
      <w:r>
        <w:rPr>
          <w:rFonts w:ascii="Bookman Old Style" w:hAnsi="Bookman Old Style" w:cs="Arial"/>
          <w:sz w:val="28"/>
          <w:szCs w:val="28"/>
          <w:lang w:val="el-GR"/>
        </w:rPr>
        <w:t>η</w:t>
      </w:r>
      <w:r w:rsidR="00777355">
        <w:rPr>
          <w:rFonts w:ascii="Bookman Old Style" w:hAnsi="Bookman Old Style" w:cs="Arial"/>
          <w:sz w:val="28"/>
          <w:szCs w:val="28"/>
          <w:lang w:val="el-GR"/>
        </w:rPr>
        <w:t>ν</w:t>
      </w:r>
      <w:r>
        <w:rPr>
          <w:rFonts w:ascii="Bookman Old Style" w:hAnsi="Bookman Old Style" w:cs="Arial"/>
          <w:sz w:val="28"/>
          <w:szCs w:val="28"/>
          <w:lang w:val="el-GR"/>
        </w:rPr>
        <w:t xml:space="preserve"> υπόθεση </w:t>
      </w:r>
      <w:proofErr w:type="spellStart"/>
      <w:r w:rsidRPr="00C849BB">
        <w:rPr>
          <w:rFonts w:ascii="Bookman Old Style" w:hAnsi="Bookman Old Style" w:cs="Arial"/>
          <w:b/>
          <w:bCs/>
          <w:i/>
          <w:iCs/>
          <w:sz w:val="28"/>
          <w:szCs w:val="28"/>
          <w:lang w:val="el-GR"/>
        </w:rPr>
        <w:t>Παγκύπριος</w:t>
      </w:r>
      <w:proofErr w:type="spellEnd"/>
      <w:r w:rsidRPr="00C849BB">
        <w:rPr>
          <w:rFonts w:ascii="Bookman Old Style" w:hAnsi="Bookman Old Style" w:cs="Arial"/>
          <w:b/>
          <w:bCs/>
          <w:i/>
          <w:iCs/>
          <w:sz w:val="28"/>
          <w:szCs w:val="28"/>
          <w:lang w:val="el-GR"/>
        </w:rPr>
        <w:t xml:space="preserve"> Οργανισμός Αγελαδοτρόφων (ΠΟΑ) Δημόσια </w:t>
      </w:r>
      <w:proofErr w:type="spellStart"/>
      <w:r w:rsidRPr="00C849BB">
        <w:rPr>
          <w:rFonts w:ascii="Bookman Old Style" w:hAnsi="Bookman Old Style" w:cs="Arial"/>
          <w:b/>
          <w:bCs/>
          <w:i/>
          <w:iCs/>
          <w:sz w:val="28"/>
          <w:szCs w:val="28"/>
          <w:lang w:val="el-GR"/>
        </w:rPr>
        <w:t>Λτδ</w:t>
      </w:r>
      <w:proofErr w:type="spellEnd"/>
      <w:r w:rsidRPr="00C849BB">
        <w:rPr>
          <w:rFonts w:ascii="Bookman Old Style" w:hAnsi="Bookman Old Style" w:cs="Arial"/>
          <w:b/>
          <w:bCs/>
          <w:i/>
          <w:iCs/>
          <w:sz w:val="28"/>
          <w:szCs w:val="28"/>
          <w:lang w:val="el-GR"/>
        </w:rPr>
        <w:t xml:space="preserve"> </w:t>
      </w:r>
      <w:r w:rsidRPr="00C849BB">
        <w:rPr>
          <w:rFonts w:ascii="Bookman Old Style" w:hAnsi="Bookman Old Style" w:cs="Arial"/>
          <w:b/>
          <w:bCs/>
          <w:i/>
          <w:iCs/>
          <w:sz w:val="28"/>
          <w:szCs w:val="28"/>
          <w:lang w:val="en-US"/>
        </w:rPr>
        <w:t>v</w:t>
      </w:r>
      <w:r w:rsidRPr="00C849BB">
        <w:rPr>
          <w:rFonts w:ascii="Bookman Old Style" w:hAnsi="Bookman Old Style" w:cs="Arial"/>
          <w:b/>
          <w:bCs/>
          <w:i/>
          <w:iCs/>
          <w:sz w:val="28"/>
          <w:szCs w:val="28"/>
          <w:lang w:val="el-GR"/>
        </w:rPr>
        <w:t>. Κυπριακού Οργανισμού Αγροτικών Πληρωμών (ΚΟΑΠ) κ.ά</w:t>
      </w:r>
      <w:r w:rsidR="0018265B">
        <w:rPr>
          <w:rFonts w:ascii="Bookman Old Style" w:hAnsi="Bookman Old Style" w:cs="Arial"/>
          <w:b/>
          <w:bCs/>
          <w:i/>
          <w:iCs/>
          <w:sz w:val="28"/>
          <w:szCs w:val="28"/>
          <w:lang w:val="el-GR"/>
        </w:rPr>
        <w:t>.</w:t>
      </w:r>
      <w:r w:rsidRPr="00C849BB">
        <w:rPr>
          <w:rFonts w:ascii="Bookman Old Style" w:hAnsi="Bookman Old Style" w:cs="Arial"/>
          <w:b/>
          <w:bCs/>
          <w:i/>
          <w:iCs/>
          <w:sz w:val="28"/>
          <w:szCs w:val="28"/>
          <w:lang w:val="el-GR"/>
        </w:rPr>
        <w:t xml:space="preserve">, Αναθεωρητική Έφεση </w:t>
      </w:r>
      <w:proofErr w:type="spellStart"/>
      <w:r w:rsidR="0018265B">
        <w:rPr>
          <w:rFonts w:ascii="Bookman Old Style" w:hAnsi="Bookman Old Style" w:cs="Arial"/>
          <w:b/>
          <w:bCs/>
          <w:i/>
          <w:iCs/>
          <w:sz w:val="28"/>
          <w:szCs w:val="28"/>
          <w:lang w:val="el-GR"/>
        </w:rPr>
        <w:t>Α</w:t>
      </w:r>
      <w:r w:rsidRPr="00C849BB">
        <w:rPr>
          <w:rFonts w:ascii="Bookman Old Style" w:hAnsi="Bookman Old Style" w:cs="Arial"/>
          <w:b/>
          <w:bCs/>
          <w:i/>
          <w:iCs/>
          <w:sz w:val="28"/>
          <w:szCs w:val="28"/>
          <w:lang w:val="el-GR"/>
        </w:rPr>
        <w:t>ρ</w:t>
      </w:r>
      <w:proofErr w:type="spellEnd"/>
      <w:r w:rsidRPr="00C849BB">
        <w:rPr>
          <w:rFonts w:ascii="Bookman Old Style" w:hAnsi="Bookman Old Style" w:cs="Arial"/>
          <w:b/>
          <w:bCs/>
          <w:i/>
          <w:iCs/>
          <w:sz w:val="28"/>
          <w:szCs w:val="28"/>
          <w:lang w:val="el-GR"/>
        </w:rPr>
        <w:t xml:space="preserve">. 33/2015, </w:t>
      </w:r>
      <w:proofErr w:type="spellStart"/>
      <w:r w:rsidRPr="00C849BB">
        <w:rPr>
          <w:rFonts w:ascii="Bookman Old Style" w:hAnsi="Bookman Old Style" w:cs="Arial"/>
          <w:b/>
          <w:bCs/>
          <w:i/>
          <w:iCs/>
          <w:sz w:val="28"/>
          <w:szCs w:val="28"/>
          <w:lang w:val="el-GR"/>
        </w:rPr>
        <w:t>ημερ</w:t>
      </w:r>
      <w:proofErr w:type="spellEnd"/>
      <w:r w:rsidRPr="00C849BB">
        <w:rPr>
          <w:rFonts w:ascii="Bookman Old Style" w:hAnsi="Bookman Old Style" w:cs="Arial"/>
          <w:b/>
          <w:bCs/>
          <w:i/>
          <w:iCs/>
          <w:sz w:val="28"/>
          <w:szCs w:val="28"/>
          <w:lang w:val="el-GR"/>
        </w:rPr>
        <w:t>. 3/6/2022</w:t>
      </w:r>
      <w:r>
        <w:rPr>
          <w:rFonts w:ascii="Bookman Old Style" w:hAnsi="Bookman Old Style" w:cs="Arial"/>
          <w:sz w:val="28"/>
          <w:szCs w:val="28"/>
          <w:lang w:val="el-GR"/>
        </w:rPr>
        <w:t>, λέχθηκαν από την Ολομέλεια και τα εξής:</w:t>
      </w:r>
    </w:p>
    <w:p w14:paraId="33CB9833" w14:textId="77777777" w:rsidR="0096773D" w:rsidRPr="00C849BB" w:rsidRDefault="0096773D" w:rsidP="0096773D">
      <w:pPr>
        <w:spacing w:line="480" w:lineRule="auto"/>
        <w:ind w:right="-35"/>
        <w:jc w:val="both"/>
        <w:rPr>
          <w:rFonts w:ascii="Bookman Old Style" w:hAnsi="Bookman Old Style" w:cs="Arial"/>
          <w:sz w:val="28"/>
          <w:szCs w:val="28"/>
          <w:lang w:val="el-GR"/>
        </w:rPr>
      </w:pPr>
    </w:p>
    <w:p w14:paraId="249ABE3C" w14:textId="77777777" w:rsidR="0096773D" w:rsidRDefault="0096773D" w:rsidP="0096773D">
      <w:pPr>
        <w:spacing w:line="276" w:lineRule="auto"/>
        <w:ind w:left="426" w:right="390"/>
        <w:jc w:val="both"/>
        <w:rPr>
          <w:rFonts w:ascii="Bookman Old Style" w:hAnsi="Bookman Old Style"/>
          <w:sz w:val="26"/>
          <w:szCs w:val="26"/>
          <w:lang w:val="el-GR"/>
        </w:rPr>
      </w:pPr>
      <w:r w:rsidRPr="00C849BB">
        <w:rPr>
          <w:rFonts w:ascii="Bookman Old Style" w:hAnsi="Bookman Old Style"/>
          <w:sz w:val="26"/>
          <w:szCs w:val="26"/>
          <w:lang w:val="el-GR"/>
        </w:rPr>
        <w:t>«</w:t>
      </w:r>
      <w:r w:rsidRPr="00C849BB">
        <w:rPr>
          <w:rFonts w:ascii="Bookman Old Style" w:hAnsi="Bookman Old Style"/>
          <w:i/>
          <w:iCs/>
          <w:sz w:val="26"/>
          <w:szCs w:val="26"/>
          <w:lang w:val="el-GR"/>
        </w:rPr>
        <w:t xml:space="preserve">Ως απόσταγμα της σχετικής επί του θέματος νομολογίας, μπορεί να καταγραφεί ότι η κατάταξη νομικής σχέσης κάτω από το πρίσμα του ιδιωτικού ή του δημόσιου δικαίου είναι έργο δύσκολο, το οποίο κινείται σε πολύ λεπτές γραμμές. «… το πεδίο του Δημοσίου Δικαίου διακρίνεται από το Ιδιωτικό Δίκαιο ανάλογα με τον σκοπό τον οποίο η νομοθεσία αποβλέπει να </w:t>
      </w:r>
      <w:proofErr w:type="spellStart"/>
      <w:r w:rsidRPr="00C849BB">
        <w:rPr>
          <w:rFonts w:ascii="Bookman Old Style" w:hAnsi="Bookman Old Style"/>
          <w:i/>
          <w:iCs/>
          <w:sz w:val="26"/>
          <w:szCs w:val="26"/>
          <w:lang w:val="el-GR"/>
        </w:rPr>
        <w:t>προάξει</w:t>
      </w:r>
      <w:proofErr w:type="spellEnd"/>
      <w:r w:rsidRPr="00C849BB">
        <w:rPr>
          <w:rFonts w:ascii="Bookman Old Style" w:hAnsi="Bookman Old Style"/>
          <w:i/>
          <w:iCs/>
          <w:sz w:val="26"/>
          <w:szCs w:val="26"/>
          <w:lang w:val="el-GR"/>
        </w:rPr>
        <w:t xml:space="preserve"> και το ενδιαφέρον του κοινού στη συγκεκριμένη λειτουργία και αποφάσεις.» (</w:t>
      </w:r>
      <w:proofErr w:type="spellStart"/>
      <w:r w:rsidRPr="00C849BB">
        <w:rPr>
          <w:rFonts w:ascii="Bookman Old Style" w:hAnsi="Bookman Old Style"/>
          <w:b/>
          <w:bCs/>
          <w:i/>
          <w:iCs/>
          <w:sz w:val="26"/>
          <w:szCs w:val="26"/>
          <w:lang w:val="en-US"/>
        </w:rPr>
        <w:t>Tamasos</w:t>
      </w:r>
      <w:proofErr w:type="spellEnd"/>
      <w:r w:rsidRPr="00C849BB">
        <w:rPr>
          <w:rFonts w:ascii="Bookman Old Style" w:hAnsi="Bookman Old Style"/>
          <w:b/>
          <w:bCs/>
          <w:i/>
          <w:iCs/>
          <w:sz w:val="26"/>
          <w:szCs w:val="26"/>
          <w:lang w:val="el-GR"/>
        </w:rPr>
        <w:t xml:space="preserve"> </w:t>
      </w:r>
      <w:proofErr w:type="spellStart"/>
      <w:r w:rsidRPr="00C849BB">
        <w:rPr>
          <w:rFonts w:ascii="Bookman Old Style" w:hAnsi="Bookman Old Style"/>
          <w:b/>
          <w:bCs/>
          <w:i/>
          <w:iCs/>
          <w:sz w:val="26"/>
          <w:szCs w:val="26"/>
          <w:lang w:val="en-US"/>
        </w:rPr>
        <w:t>Tobaco</w:t>
      </w:r>
      <w:proofErr w:type="spellEnd"/>
      <w:r w:rsidRPr="00C849BB">
        <w:rPr>
          <w:rFonts w:ascii="Bookman Old Style" w:hAnsi="Bookman Old Style"/>
          <w:b/>
          <w:bCs/>
          <w:i/>
          <w:iCs/>
          <w:sz w:val="26"/>
          <w:szCs w:val="26"/>
          <w:lang w:val="el-GR"/>
        </w:rPr>
        <w:t xml:space="preserve"> </w:t>
      </w:r>
      <w:r w:rsidRPr="00C849BB">
        <w:rPr>
          <w:rFonts w:ascii="Bookman Old Style" w:hAnsi="Bookman Old Style"/>
          <w:b/>
          <w:bCs/>
          <w:i/>
          <w:iCs/>
          <w:sz w:val="26"/>
          <w:szCs w:val="26"/>
          <w:lang w:val="en-US"/>
        </w:rPr>
        <w:t>Supplies</w:t>
      </w:r>
      <w:r w:rsidRPr="00C849BB">
        <w:rPr>
          <w:rFonts w:ascii="Bookman Old Style" w:hAnsi="Bookman Old Style"/>
          <w:b/>
          <w:bCs/>
          <w:i/>
          <w:iCs/>
          <w:sz w:val="26"/>
          <w:szCs w:val="26"/>
          <w:lang w:val="el-GR"/>
        </w:rPr>
        <w:t xml:space="preserve"> </w:t>
      </w:r>
      <w:r w:rsidRPr="00C849BB">
        <w:rPr>
          <w:rFonts w:ascii="Bookman Old Style" w:hAnsi="Bookman Old Style"/>
          <w:b/>
          <w:bCs/>
          <w:i/>
          <w:iCs/>
          <w:sz w:val="26"/>
          <w:szCs w:val="26"/>
          <w:lang w:val="en-US"/>
        </w:rPr>
        <w:t>v</w:t>
      </w:r>
      <w:r w:rsidRPr="00C849BB">
        <w:rPr>
          <w:rFonts w:ascii="Bookman Old Style" w:hAnsi="Bookman Old Style"/>
          <w:b/>
          <w:bCs/>
          <w:i/>
          <w:iCs/>
          <w:sz w:val="26"/>
          <w:szCs w:val="26"/>
          <w:lang w:val="el-GR"/>
        </w:rPr>
        <w:t>. Δημοκρατίας (1991) 3 ΑΑΔ 407, 413</w:t>
      </w:r>
      <w:r w:rsidRPr="00C849BB">
        <w:rPr>
          <w:rFonts w:ascii="Bookman Old Style" w:hAnsi="Bookman Old Style"/>
          <w:i/>
          <w:iCs/>
          <w:sz w:val="26"/>
          <w:szCs w:val="26"/>
          <w:lang w:val="el-GR"/>
        </w:rPr>
        <w:t>). «Το κύριο κριτήριο για τη διάκριση μεταξύ πράξεων δημοσίου δικαίου και πράξεων ιδιωτικού δικαίου, είναι η φύση της ίδιας της πράξης και ο επιδιωκόμενος με την πράξη αυτή σκοπός</w:t>
      </w:r>
      <w:r w:rsidRPr="00C849BB">
        <w:rPr>
          <w:rFonts w:ascii="Bookman Old Style" w:hAnsi="Bookman Old Style"/>
          <w:sz w:val="26"/>
          <w:szCs w:val="26"/>
          <w:lang w:val="el-GR"/>
        </w:rPr>
        <w:t>.».»</w:t>
      </w:r>
    </w:p>
    <w:p w14:paraId="5F80D83D" w14:textId="77777777" w:rsidR="0096773D" w:rsidRPr="00C849BB" w:rsidRDefault="0096773D" w:rsidP="0096773D">
      <w:pPr>
        <w:spacing w:line="276" w:lineRule="auto"/>
        <w:ind w:left="426" w:right="390"/>
        <w:jc w:val="both"/>
        <w:rPr>
          <w:rFonts w:ascii="Bookman Old Style" w:hAnsi="Bookman Old Style" w:cs="Arial"/>
          <w:sz w:val="26"/>
          <w:szCs w:val="26"/>
          <w:lang w:val="el-GR"/>
        </w:rPr>
      </w:pPr>
    </w:p>
    <w:p w14:paraId="6CF49132" w14:textId="77777777" w:rsidR="0096773D" w:rsidRPr="008518F5" w:rsidRDefault="0096773D" w:rsidP="0096773D">
      <w:pPr>
        <w:spacing w:line="480" w:lineRule="auto"/>
        <w:ind w:right="-35"/>
        <w:jc w:val="both"/>
        <w:rPr>
          <w:rFonts w:ascii="Bookman Old Style" w:hAnsi="Bookman Old Style" w:cs="Arial"/>
          <w:sz w:val="28"/>
          <w:szCs w:val="28"/>
          <w:lang w:val="el-GR"/>
        </w:rPr>
      </w:pPr>
    </w:p>
    <w:p w14:paraId="7D7320B9" w14:textId="1C951A40"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Έχοντας το πρωτόδικο Δικαστήριο καθοδηγηθεί από τη σχετική νομολογία, προχώρησε, εν συνεχεία, στην εξέταση των περιστατικών της υπόθεσης. Στο πλαίσιο αυτό έλαβε υπόψη του τις διατάξεις του </w:t>
      </w:r>
      <w:r w:rsidRPr="00823E58">
        <w:rPr>
          <w:rFonts w:ascii="Bookman Old Style" w:hAnsi="Bookman Old Style" w:cs="Arial"/>
          <w:b/>
          <w:bCs/>
          <w:i/>
          <w:iCs/>
          <w:sz w:val="28"/>
          <w:szCs w:val="28"/>
          <w:lang w:val="el-GR"/>
        </w:rPr>
        <w:t>περί Αξιών και Χρηματιστηρίου Αξιών Κύπρου Νόμου του 1993, Ν. 14(Ι)/1993</w:t>
      </w:r>
      <w:r w:rsidR="00287208">
        <w:rPr>
          <w:rFonts w:ascii="Bookman Old Style" w:hAnsi="Bookman Old Style" w:cs="Arial"/>
          <w:sz w:val="28"/>
          <w:szCs w:val="28"/>
          <w:lang w:val="el-GR"/>
        </w:rPr>
        <w:t>,</w:t>
      </w:r>
      <w:r>
        <w:rPr>
          <w:rFonts w:ascii="Bookman Old Style" w:hAnsi="Bookman Old Style" w:cs="Arial"/>
          <w:sz w:val="28"/>
          <w:szCs w:val="28"/>
          <w:lang w:val="el-GR"/>
        </w:rPr>
        <w:t xml:space="preserve"> σ</w:t>
      </w:r>
      <w:r w:rsidR="0065678F">
        <w:rPr>
          <w:rFonts w:ascii="Bookman Old Style" w:hAnsi="Bookman Old Style" w:cs="Arial"/>
          <w:sz w:val="28"/>
          <w:szCs w:val="28"/>
          <w:lang w:val="el-GR"/>
        </w:rPr>
        <w:t xml:space="preserve">ύμφωνα με τις οποίες </w:t>
      </w:r>
      <w:r>
        <w:rPr>
          <w:rFonts w:ascii="Bookman Old Style" w:hAnsi="Bookman Old Style" w:cs="Arial"/>
          <w:sz w:val="28"/>
          <w:szCs w:val="28"/>
          <w:lang w:val="el-GR"/>
        </w:rPr>
        <w:t>το ΧΑΚ αποτελεί νομικό πρόσωπο δημοσίου δικαίου στο οποίο καταρτίζονται κατ</w:t>
      </w:r>
      <w:r w:rsidR="00287208">
        <w:rPr>
          <w:rFonts w:ascii="Bookman Old Style" w:hAnsi="Bookman Old Style" w:cs="Arial"/>
          <w:sz w:val="28"/>
          <w:szCs w:val="28"/>
          <w:lang w:val="el-GR"/>
        </w:rPr>
        <w:t xml:space="preserve">’ </w:t>
      </w:r>
      <w:r>
        <w:rPr>
          <w:rFonts w:ascii="Bookman Old Style" w:hAnsi="Bookman Old Style" w:cs="Arial"/>
          <w:sz w:val="28"/>
          <w:szCs w:val="28"/>
          <w:lang w:val="el-GR"/>
        </w:rPr>
        <w:t>αποκλειστικότητα οι χρηματιστηριακές συναλλαγές επί κινητών αξιών στη Δημοκρατία</w:t>
      </w:r>
      <w:r>
        <w:rPr>
          <w:rStyle w:val="FootnoteReference"/>
          <w:rFonts w:ascii="Bookman Old Style" w:hAnsi="Bookman Old Style" w:cs="Arial"/>
          <w:sz w:val="28"/>
          <w:szCs w:val="28"/>
          <w:lang w:val="el-GR"/>
        </w:rPr>
        <w:footnoteReference w:id="1"/>
      </w:r>
      <w:r w:rsidR="00287208">
        <w:rPr>
          <w:rFonts w:ascii="Bookman Old Style" w:hAnsi="Bookman Old Style" w:cs="Arial"/>
          <w:sz w:val="28"/>
          <w:szCs w:val="28"/>
          <w:lang w:val="el-GR"/>
        </w:rPr>
        <w:t>,</w:t>
      </w:r>
      <w:r>
        <w:rPr>
          <w:rFonts w:ascii="Bookman Old Style" w:hAnsi="Bookman Old Style" w:cs="Arial"/>
          <w:sz w:val="28"/>
          <w:szCs w:val="28"/>
          <w:lang w:val="el-GR"/>
        </w:rPr>
        <w:t xml:space="preserve"> καθώς και στους πρωταρχικούς σκοπούς και αρμοδιότητες του ΧΑΚ. Όπως συναφώς επισημάνθηκε, αυτές περιλαμβάνουν τη λήψη των απαρα</w:t>
      </w:r>
      <w:r w:rsidR="00287208">
        <w:rPr>
          <w:rFonts w:ascii="Bookman Old Style" w:hAnsi="Bookman Old Style" w:cs="Arial"/>
          <w:sz w:val="28"/>
          <w:szCs w:val="28"/>
          <w:lang w:val="el-GR"/>
        </w:rPr>
        <w:t>ίτη</w:t>
      </w:r>
      <w:r>
        <w:rPr>
          <w:rFonts w:ascii="Bookman Old Style" w:hAnsi="Bookman Old Style" w:cs="Arial"/>
          <w:sz w:val="28"/>
          <w:szCs w:val="28"/>
          <w:lang w:val="el-GR"/>
        </w:rPr>
        <w:t>των και των</w:t>
      </w:r>
      <w:r w:rsidRPr="001E450E">
        <w:rPr>
          <w:rFonts w:ascii="Bookman Old Style" w:hAnsi="Bookman Old Style" w:cs="Arial"/>
          <w:sz w:val="28"/>
          <w:szCs w:val="28"/>
          <w:lang w:val="el-GR"/>
        </w:rPr>
        <w:t>,</w:t>
      </w:r>
      <w:r>
        <w:rPr>
          <w:rFonts w:ascii="Bookman Old Style" w:hAnsi="Bookman Old Style" w:cs="Arial"/>
          <w:sz w:val="28"/>
          <w:szCs w:val="28"/>
          <w:lang w:val="el-GR"/>
        </w:rPr>
        <w:t xml:space="preserve"> κατά περίπτωση</w:t>
      </w:r>
      <w:r w:rsidRPr="001E450E">
        <w:rPr>
          <w:rFonts w:ascii="Bookman Old Style" w:hAnsi="Bookman Old Style" w:cs="Arial"/>
          <w:sz w:val="28"/>
          <w:szCs w:val="28"/>
          <w:lang w:val="el-GR"/>
        </w:rPr>
        <w:t>,</w:t>
      </w:r>
      <w:r>
        <w:rPr>
          <w:rFonts w:ascii="Bookman Old Style" w:hAnsi="Bookman Old Style" w:cs="Arial"/>
          <w:sz w:val="28"/>
          <w:szCs w:val="28"/>
          <w:lang w:val="el-GR"/>
        </w:rPr>
        <w:t xml:space="preserve"> ενδεδειγμένων μέτρων για την ανάπτυξη της αγοράς αξιών καθώς, επίσης, τον έλεγχο και τη ρύθμιση των συναλλαγών για κινητές αξίες, την προώθηση της χρηματιστηριακής δραστηριότητας, την ενθάρρυνση της ανάπτυξης ομαλής και μεθοδικής αγοράς αξιών, την καταστολή των δόλιων και ανάρμοστων μεθόδων χρηματιστηριακής συναλλαγής και την παροχή δέουσας προστασίας σε επενδυτές και γενικά στο κοινό</w:t>
      </w:r>
      <w:r>
        <w:rPr>
          <w:rStyle w:val="FootnoteReference"/>
          <w:rFonts w:ascii="Bookman Old Style" w:hAnsi="Bookman Old Style" w:cs="Arial"/>
          <w:sz w:val="28"/>
          <w:szCs w:val="28"/>
          <w:lang w:val="el-GR"/>
        </w:rPr>
        <w:footnoteReference w:id="2"/>
      </w:r>
      <w:r>
        <w:rPr>
          <w:rFonts w:ascii="Bookman Old Style" w:hAnsi="Bookman Old Style" w:cs="Arial"/>
          <w:sz w:val="28"/>
          <w:szCs w:val="28"/>
          <w:lang w:val="el-GR"/>
        </w:rPr>
        <w:t>. Έλαβε, επίσης, υπόψη και την εξουσία του Συμβουλίου ΧΑΚ να ορίζει δικαιώματα επί συναλλαγών που καταρτίζονται στο ΧΑΚ ή ανακοινώνονται σε αυτό</w:t>
      </w:r>
      <w:r w:rsidR="003F3E5F">
        <w:rPr>
          <w:rFonts w:ascii="Bookman Old Style" w:hAnsi="Bookman Old Style" w:cs="Arial"/>
          <w:sz w:val="28"/>
          <w:szCs w:val="28"/>
          <w:lang w:val="el-GR"/>
        </w:rPr>
        <w:t>,</w:t>
      </w:r>
      <w:r>
        <w:rPr>
          <w:rFonts w:ascii="Bookman Old Style" w:hAnsi="Bookman Old Style" w:cs="Arial"/>
          <w:sz w:val="28"/>
          <w:szCs w:val="28"/>
          <w:lang w:val="el-GR"/>
        </w:rPr>
        <w:t xml:space="preserve"> καθώς και άλλα </w:t>
      </w:r>
      <w:r>
        <w:rPr>
          <w:rFonts w:ascii="Bookman Old Style" w:hAnsi="Bookman Old Style" w:cs="Arial"/>
          <w:sz w:val="28"/>
          <w:szCs w:val="28"/>
          <w:lang w:val="el-GR"/>
        </w:rPr>
        <w:lastRenderedPageBreak/>
        <w:t>δικαιώματα, τέλη και συνδρομές, επισημαίνοντας, συγχρόνως, ότι τα εισπραττόμενα ποσά αποτελούν έσοδα του ΧΑΚ</w:t>
      </w:r>
      <w:r>
        <w:rPr>
          <w:rStyle w:val="FootnoteReference"/>
          <w:rFonts w:ascii="Bookman Old Style" w:hAnsi="Bookman Old Style" w:cs="Arial"/>
          <w:sz w:val="28"/>
          <w:szCs w:val="28"/>
          <w:lang w:val="el-GR"/>
        </w:rPr>
        <w:footnoteReference w:id="3"/>
      </w:r>
      <w:r w:rsidRPr="001E450E">
        <w:rPr>
          <w:rFonts w:ascii="Bookman Old Style" w:hAnsi="Bookman Old Style" w:cs="Arial"/>
          <w:sz w:val="28"/>
          <w:szCs w:val="28"/>
          <w:lang w:val="el-GR"/>
        </w:rPr>
        <w:t xml:space="preserve">. </w:t>
      </w:r>
      <w:r>
        <w:rPr>
          <w:rFonts w:ascii="Bookman Old Style" w:hAnsi="Bookman Old Style" w:cs="Arial"/>
          <w:sz w:val="28"/>
          <w:szCs w:val="28"/>
          <w:lang w:val="el-GR"/>
        </w:rPr>
        <w:t>Υπογράμμισε, ακόμη, την αρμοδιότητα του ΧΑΚ προς σύσταση, διοίκηση και διαχείριση Κεντρικού Αποθετηρίου και Κεντρικού Μητρώου Αξιών</w:t>
      </w:r>
      <w:r>
        <w:rPr>
          <w:rStyle w:val="FootnoteReference"/>
          <w:rFonts w:ascii="Bookman Old Style" w:hAnsi="Bookman Old Style" w:cs="Arial"/>
          <w:sz w:val="28"/>
          <w:szCs w:val="28"/>
          <w:lang w:val="el-GR"/>
        </w:rPr>
        <w:footnoteReference w:id="4"/>
      </w:r>
      <w:r>
        <w:rPr>
          <w:rFonts w:ascii="Bookman Old Style" w:hAnsi="Bookman Old Style" w:cs="Arial"/>
          <w:sz w:val="28"/>
          <w:szCs w:val="28"/>
          <w:lang w:val="el-GR"/>
        </w:rPr>
        <w:t xml:space="preserve"> επισημαίνοντας, παράλληλα, ως προς το πρώτο, ότι ο σκοπός της σύστασης του είναι, μεταξύ άλλων, η παροχή των αναγκαίων υπηρεσιών και η διασφάλιση σ</w:t>
      </w:r>
      <w:r w:rsidR="0065678F">
        <w:rPr>
          <w:rFonts w:ascii="Bookman Old Style" w:hAnsi="Bookman Old Style" w:cs="Arial"/>
          <w:sz w:val="28"/>
          <w:szCs w:val="28"/>
          <w:lang w:val="el-GR"/>
        </w:rPr>
        <w:t>ύγχρο</w:t>
      </w:r>
      <w:r>
        <w:rPr>
          <w:rFonts w:ascii="Bookman Old Style" w:hAnsi="Bookman Old Style" w:cs="Arial"/>
          <w:sz w:val="28"/>
          <w:szCs w:val="28"/>
          <w:lang w:val="el-GR"/>
        </w:rPr>
        <w:t xml:space="preserve">νων τεχνικών μέσων και </w:t>
      </w:r>
      <w:r w:rsidR="00777355">
        <w:rPr>
          <w:rFonts w:ascii="Bookman Old Style" w:hAnsi="Bookman Old Style" w:cs="Arial"/>
          <w:sz w:val="28"/>
          <w:szCs w:val="28"/>
          <w:lang w:val="el-GR"/>
        </w:rPr>
        <w:t xml:space="preserve">                  </w:t>
      </w:r>
      <w:r>
        <w:rPr>
          <w:rFonts w:ascii="Bookman Old Style" w:hAnsi="Bookman Old Style" w:cs="Arial"/>
          <w:sz w:val="28"/>
          <w:szCs w:val="28"/>
          <w:lang w:val="el-GR"/>
        </w:rPr>
        <w:t>η καθίδρυση ενός κεντρικού συστήματος εκκαθάρισης χρηματιστηριακών συναλλαγών, διενέργεια πληρωμών και είσπραξη χρημάτων συναφώς προς την εκκαθάριση</w:t>
      </w:r>
      <w:r w:rsidRPr="00A260E0">
        <w:rPr>
          <w:rFonts w:ascii="Bookman Old Style" w:hAnsi="Bookman Old Style" w:cs="Arial"/>
          <w:sz w:val="28"/>
          <w:szCs w:val="28"/>
          <w:lang w:val="el-GR"/>
        </w:rPr>
        <w:t xml:space="preserve"> </w:t>
      </w:r>
      <w:r>
        <w:rPr>
          <w:rFonts w:ascii="Bookman Old Style" w:hAnsi="Bookman Old Style" w:cs="Arial"/>
          <w:sz w:val="28"/>
          <w:szCs w:val="28"/>
          <w:lang w:val="el-GR"/>
        </w:rPr>
        <w:t>χρηματιστηριακών συναλλαγών</w:t>
      </w:r>
      <w:r>
        <w:rPr>
          <w:rStyle w:val="FootnoteReference"/>
          <w:rFonts w:ascii="Bookman Old Style" w:hAnsi="Bookman Old Style" w:cs="Arial"/>
          <w:sz w:val="28"/>
          <w:szCs w:val="28"/>
          <w:lang w:val="el-GR"/>
        </w:rPr>
        <w:footnoteReference w:id="5"/>
      </w:r>
      <w:r>
        <w:rPr>
          <w:rFonts w:ascii="Bookman Old Style" w:hAnsi="Bookman Old Style" w:cs="Arial"/>
          <w:sz w:val="28"/>
          <w:szCs w:val="28"/>
          <w:lang w:val="el-GR"/>
        </w:rPr>
        <w:t>. Αφού, δε σημείωσε, ότι για την καταχώρ</w:t>
      </w:r>
      <w:r w:rsidR="003F3E5F">
        <w:rPr>
          <w:rFonts w:ascii="Bookman Old Style" w:hAnsi="Bookman Old Style" w:cs="Arial"/>
          <w:sz w:val="28"/>
          <w:szCs w:val="28"/>
          <w:lang w:val="el-GR"/>
        </w:rPr>
        <w:t>ι</w:t>
      </w:r>
      <w:r>
        <w:rPr>
          <w:rFonts w:ascii="Bookman Old Style" w:hAnsi="Bookman Old Style" w:cs="Arial"/>
          <w:sz w:val="28"/>
          <w:szCs w:val="28"/>
          <w:lang w:val="el-GR"/>
        </w:rPr>
        <w:t>ση κινητών αξιών στο Κεντρικό Αποθετήριο καταβάλλονται από τους εκδότες δικαιώματα και συνδρομή, υπογράμμισε την ύπαρξη,  εκ του Νόμου, αρμοδιότητας από μέρους του ΧΑΚ να επιβάλλει και να απαιτεί από τους εκδότες διάφορα τέλη, όπως την ετήσια εισφορά εκδότη, την ετήσια χρέωση εκδοτών, τέλος για την τήρηση μητρώου, ετήσιο τέλος ηλεκτρονικής σύνδεσης εκδότη και τέλη συναλλαγών εκδότη.</w:t>
      </w:r>
    </w:p>
    <w:p w14:paraId="44BB5942" w14:textId="77777777" w:rsidR="0096773D" w:rsidRDefault="0096773D" w:rsidP="0096773D">
      <w:pPr>
        <w:spacing w:line="480" w:lineRule="auto"/>
        <w:ind w:right="-35"/>
        <w:jc w:val="both"/>
        <w:rPr>
          <w:rFonts w:ascii="Bookman Old Style" w:hAnsi="Bookman Old Style" w:cs="Arial"/>
          <w:sz w:val="28"/>
          <w:szCs w:val="28"/>
          <w:lang w:val="el-GR"/>
        </w:rPr>
      </w:pPr>
    </w:p>
    <w:p w14:paraId="625C2326" w14:textId="21E8722B" w:rsidR="0096773D"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Εν </w:t>
      </w:r>
      <w:proofErr w:type="spellStart"/>
      <w:r>
        <w:rPr>
          <w:rFonts w:ascii="Bookman Old Style" w:hAnsi="Bookman Old Style" w:cs="Arial"/>
          <w:sz w:val="28"/>
          <w:szCs w:val="28"/>
          <w:lang w:val="el-GR"/>
        </w:rPr>
        <w:t>πρώτοις</w:t>
      </w:r>
      <w:proofErr w:type="spellEnd"/>
      <w:r w:rsidR="003F3E5F">
        <w:rPr>
          <w:rFonts w:ascii="Bookman Old Style" w:hAnsi="Bookman Old Style" w:cs="Arial"/>
          <w:sz w:val="28"/>
          <w:szCs w:val="28"/>
          <w:lang w:val="el-GR"/>
        </w:rPr>
        <w:t>,</w:t>
      </w:r>
      <w:r>
        <w:rPr>
          <w:rFonts w:ascii="Bookman Old Style" w:hAnsi="Bookman Old Style" w:cs="Arial"/>
          <w:sz w:val="28"/>
          <w:szCs w:val="28"/>
          <w:lang w:val="el-GR"/>
        </w:rPr>
        <w:t xml:space="preserve"> είναι φανερόν ότι τα συμπεράσματα του πρωτόδικου Δικαστηρίου ουδόλως ελήφθησαν χωρίς αιτιολόγηση ή ανάλυση και χωρίς αξιολόγηση της φύσης και του χαρακτήρα </w:t>
      </w:r>
      <w:bookmarkStart w:id="1" w:name="_Hlk149244162"/>
      <w:r>
        <w:rPr>
          <w:rFonts w:ascii="Bookman Old Style" w:hAnsi="Bookman Old Style" w:cs="Arial"/>
          <w:sz w:val="28"/>
          <w:szCs w:val="28"/>
          <w:lang w:val="el-GR"/>
        </w:rPr>
        <w:t>της επίδικης πράξης</w:t>
      </w:r>
      <w:bookmarkEnd w:id="1"/>
      <w:r>
        <w:rPr>
          <w:rFonts w:ascii="Bookman Old Style" w:hAnsi="Bookman Old Style" w:cs="Arial"/>
          <w:sz w:val="28"/>
          <w:szCs w:val="28"/>
          <w:lang w:val="el-GR"/>
        </w:rPr>
        <w:t xml:space="preserve">, όπως ήταν η εισήγηση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Έπειτα η θέση ότι το πρωτόδικο Δικαστήριο περιορίστηκε στη φύση των εργασιών και της λειτουργίας του Συμβουλίου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γενικά και ειδικότερα στη ζωτική σημασία που έχει το ΧΑΚ για την οικονομία του τόπου, δεν είναι, με κάθε σεβασμό, ορθή. Όπως προκύπτει από τα όσα πιο πάνω έχουν εκτεθεί, το πρωτόδικο Δικαστήριο πραγματεύθηκε εμπεριστατωμένα και δεόντως το ζήτημα χωρίς περιοριστικές προσεγγίσεις, όπως αφέθηκε να νοηθεί από τη σχετική επιχειρηματολογία της </w:t>
      </w:r>
      <w:proofErr w:type="spellStart"/>
      <w:r>
        <w:rPr>
          <w:rFonts w:ascii="Bookman Old Style" w:hAnsi="Bookman Old Style" w:cs="Arial"/>
          <w:sz w:val="28"/>
          <w:szCs w:val="28"/>
          <w:lang w:val="el-GR"/>
        </w:rPr>
        <w:t>Εφεσείο</w:t>
      </w:r>
      <w:r w:rsidR="003F3E5F">
        <w:rPr>
          <w:rFonts w:ascii="Bookman Old Style" w:hAnsi="Bookman Old Style" w:cs="Arial"/>
          <w:sz w:val="28"/>
          <w:szCs w:val="28"/>
          <w:lang w:val="el-GR"/>
        </w:rPr>
        <w:t>υσας</w:t>
      </w:r>
      <w:proofErr w:type="spellEnd"/>
      <w:r>
        <w:rPr>
          <w:rFonts w:ascii="Bookman Old Style" w:hAnsi="Bookman Old Style" w:cs="Arial"/>
          <w:sz w:val="28"/>
          <w:szCs w:val="28"/>
          <w:lang w:val="el-GR"/>
        </w:rPr>
        <w:t xml:space="preserve">, εξετάζοντας, όπως η σχετική νομολογία προκρίνει, την ουσία της επίδικης πράξης.  </w:t>
      </w:r>
    </w:p>
    <w:p w14:paraId="6B3F0C34" w14:textId="77777777" w:rsidR="0096773D" w:rsidRPr="008518F5" w:rsidRDefault="0096773D" w:rsidP="0096773D">
      <w:pPr>
        <w:spacing w:line="480" w:lineRule="auto"/>
        <w:ind w:right="-35"/>
        <w:jc w:val="both"/>
        <w:rPr>
          <w:rFonts w:ascii="Bookman Old Style" w:hAnsi="Bookman Old Style" w:cs="Arial"/>
          <w:sz w:val="28"/>
          <w:szCs w:val="28"/>
          <w:lang w:val="el-GR"/>
        </w:rPr>
      </w:pPr>
    </w:p>
    <w:p w14:paraId="10E8CC24" w14:textId="5FFA6525" w:rsidR="0096773D" w:rsidRPr="008518F5" w:rsidRDefault="0096773D" w:rsidP="0096773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πολύ ορθά υποστηρίχθηκε από </w:t>
      </w:r>
      <w:r w:rsidR="00777355">
        <w:rPr>
          <w:rFonts w:ascii="Bookman Old Style" w:hAnsi="Bookman Old Style" w:cs="Arial"/>
          <w:sz w:val="28"/>
          <w:szCs w:val="28"/>
          <w:lang w:val="el-GR"/>
        </w:rPr>
        <w:t>τους</w:t>
      </w:r>
      <w:r>
        <w:rPr>
          <w:rFonts w:ascii="Bookman Old Style" w:hAnsi="Bookman Old Style" w:cs="Arial"/>
          <w:sz w:val="28"/>
          <w:szCs w:val="28"/>
          <w:lang w:val="el-GR"/>
        </w:rPr>
        <w:t xml:space="preserve"> Εφεσ</w:t>
      </w:r>
      <w:r w:rsidR="00777355">
        <w:rPr>
          <w:rFonts w:ascii="Bookman Old Style" w:hAnsi="Bookman Old Style" w:cs="Arial"/>
          <w:sz w:val="28"/>
          <w:szCs w:val="28"/>
          <w:lang w:val="el-GR"/>
        </w:rPr>
        <w:t>ίβλητους</w:t>
      </w:r>
      <w:r>
        <w:rPr>
          <w:rFonts w:ascii="Bookman Old Style" w:hAnsi="Bookman Old Style" w:cs="Arial"/>
          <w:sz w:val="28"/>
          <w:szCs w:val="28"/>
          <w:lang w:val="el-GR"/>
        </w:rPr>
        <w:t>, αδιαμφισβήτητα οι σκοποί ίδρυσης και λειτουργίας του ΧΑΚ που είναι η κατ</w:t>
      </w:r>
      <w:r w:rsidR="003F3E5F">
        <w:rPr>
          <w:rFonts w:ascii="Bookman Old Style" w:hAnsi="Bookman Old Style" w:cs="Arial"/>
          <w:sz w:val="28"/>
          <w:szCs w:val="28"/>
          <w:lang w:val="el-GR"/>
        </w:rPr>
        <w:t xml:space="preserve">’ </w:t>
      </w:r>
      <w:r>
        <w:rPr>
          <w:rFonts w:ascii="Bookman Old Style" w:hAnsi="Bookman Old Style" w:cs="Arial"/>
          <w:sz w:val="28"/>
          <w:szCs w:val="28"/>
          <w:lang w:val="el-GR"/>
        </w:rPr>
        <w:t>αποκλειστικότητα διεξαγωγή των χρηματιστηριακών συναλλαγών επί κινητών αξιών στη Δημοκρατία υπό την εποπτεία του Κράτους και η εν γένει ανάπτυξη της αγοράς αξιών, έλεγχος και ρύθμιση των συναλλαγών</w:t>
      </w:r>
      <w:r w:rsidRPr="00E223BC">
        <w:rPr>
          <w:rFonts w:ascii="Bookman Old Style" w:hAnsi="Bookman Old Style" w:cs="Arial"/>
          <w:sz w:val="28"/>
          <w:szCs w:val="28"/>
          <w:lang w:val="el-GR"/>
        </w:rPr>
        <w:t xml:space="preserve"> </w:t>
      </w:r>
      <w:r>
        <w:rPr>
          <w:rFonts w:ascii="Bookman Old Style" w:hAnsi="Bookman Old Style" w:cs="Arial"/>
          <w:sz w:val="28"/>
          <w:szCs w:val="28"/>
          <w:lang w:val="el-GR"/>
        </w:rPr>
        <w:t xml:space="preserve">επί κινητών αξιών, συνιστούν δημόσιους σκοπούς για τους οποίους το κοινό έχει συμφέρον στην ευόδωση τους. </w:t>
      </w:r>
      <w:r>
        <w:rPr>
          <w:rFonts w:ascii="Bookman Old Style" w:hAnsi="Bookman Old Style" w:cs="Arial"/>
          <w:sz w:val="28"/>
          <w:szCs w:val="28"/>
          <w:lang w:val="el-GR"/>
        </w:rPr>
        <w:lastRenderedPageBreak/>
        <w:t>Η πράξη επιβολής των τελών και χρεώσεων</w:t>
      </w:r>
      <w:r w:rsidRPr="00500BF5">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κατά την ενάσκηση των εκ του Νόμου εξουσιών του ΧΑΚ σε σχέση με χρηματιστηριακές υπηρεσίες και διευκολύνσεις που το ΧΑΚ παρείχε στην </w:t>
      </w:r>
      <w:proofErr w:type="spellStart"/>
      <w:r>
        <w:rPr>
          <w:rFonts w:ascii="Bookman Old Style" w:hAnsi="Bookman Old Style" w:cs="Arial"/>
          <w:sz w:val="28"/>
          <w:szCs w:val="28"/>
          <w:lang w:val="el-GR"/>
        </w:rPr>
        <w:t>Εφεσείουσα</w:t>
      </w:r>
      <w:proofErr w:type="spellEnd"/>
      <w:r w:rsidR="003F3E5F">
        <w:rPr>
          <w:rFonts w:ascii="Bookman Old Style" w:hAnsi="Bookman Old Style" w:cs="Arial"/>
          <w:sz w:val="28"/>
          <w:szCs w:val="28"/>
          <w:lang w:val="el-GR"/>
        </w:rPr>
        <w:t>,</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σχετίζετο</w:t>
      </w:r>
      <w:proofErr w:type="spellEnd"/>
      <w:r>
        <w:rPr>
          <w:rFonts w:ascii="Bookman Old Style" w:hAnsi="Bookman Old Style" w:cs="Arial"/>
          <w:sz w:val="28"/>
          <w:szCs w:val="28"/>
          <w:lang w:val="el-GR"/>
        </w:rPr>
        <w:t xml:space="preserve"> και/ή συναρτάτο άμεσα με την προώθηση και εκπλήρωση των δημοσίων σκοπών τους οποίους το ΧΑΚ</w:t>
      </w:r>
      <w:r w:rsidRPr="008065CC">
        <w:rPr>
          <w:rFonts w:ascii="Bookman Old Style" w:hAnsi="Bookman Old Style" w:cs="Arial"/>
          <w:sz w:val="28"/>
          <w:szCs w:val="28"/>
          <w:lang w:val="el-GR"/>
        </w:rPr>
        <w:t>,</w:t>
      </w:r>
      <w:r>
        <w:rPr>
          <w:rFonts w:ascii="Bookman Old Style" w:hAnsi="Bookman Old Style" w:cs="Arial"/>
          <w:sz w:val="28"/>
          <w:szCs w:val="28"/>
          <w:lang w:val="el-GR"/>
        </w:rPr>
        <w:t xml:space="preserve"> δια της ιδρύσεως και λειτουργίας του</w:t>
      </w:r>
      <w:r w:rsidRPr="008065CC">
        <w:rPr>
          <w:rFonts w:ascii="Bookman Old Style" w:hAnsi="Bookman Old Style" w:cs="Arial"/>
          <w:sz w:val="28"/>
          <w:szCs w:val="28"/>
          <w:lang w:val="el-GR"/>
        </w:rPr>
        <w:t>,</w:t>
      </w:r>
      <w:r>
        <w:rPr>
          <w:rFonts w:ascii="Bookman Old Style" w:hAnsi="Bookman Old Style" w:cs="Arial"/>
          <w:sz w:val="28"/>
          <w:szCs w:val="28"/>
          <w:lang w:val="el-GR"/>
        </w:rPr>
        <w:t xml:space="preserve"> εξυπηρετεί. </w:t>
      </w:r>
    </w:p>
    <w:p w14:paraId="4DEC2DE2" w14:textId="77777777" w:rsidR="0096773D" w:rsidRPr="008518F5" w:rsidRDefault="0096773D" w:rsidP="0096773D">
      <w:pPr>
        <w:spacing w:line="480" w:lineRule="auto"/>
        <w:ind w:right="-35"/>
        <w:jc w:val="both"/>
        <w:rPr>
          <w:rFonts w:ascii="Bookman Old Style" w:hAnsi="Bookman Old Style" w:cs="Arial"/>
          <w:b/>
          <w:sz w:val="28"/>
          <w:szCs w:val="28"/>
          <w:lang w:val="el-GR"/>
        </w:rPr>
      </w:pPr>
    </w:p>
    <w:p w14:paraId="045203A9" w14:textId="26385D51" w:rsidR="003F3E5F" w:rsidRDefault="0096773D" w:rsidP="0096773D">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 xml:space="preserve">Στο πλαίσιο της προώθησης των θέσεων της </w:t>
      </w:r>
      <w:proofErr w:type="spellStart"/>
      <w:r>
        <w:rPr>
          <w:rFonts w:ascii="Bookman Old Style" w:hAnsi="Bookman Old Style" w:cs="Arial"/>
          <w:bCs/>
          <w:sz w:val="28"/>
          <w:szCs w:val="28"/>
          <w:lang w:val="el-GR"/>
        </w:rPr>
        <w:t>Εφεσείουσας</w:t>
      </w:r>
      <w:proofErr w:type="spellEnd"/>
      <w:r>
        <w:rPr>
          <w:rFonts w:ascii="Bookman Old Style" w:hAnsi="Bookman Old Style" w:cs="Arial"/>
          <w:bCs/>
          <w:sz w:val="28"/>
          <w:szCs w:val="28"/>
          <w:lang w:val="el-GR"/>
        </w:rPr>
        <w:t xml:space="preserve"> έγινε επίκληση και στην υπόθεση </w:t>
      </w:r>
      <w:r w:rsidRPr="00200F19">
        <w:rPr>
          <w:rFonts w:ascii="Bookman Old Style" w:hAnsi="Bookman Old Style" w:cs="Arial"/>
          <w:b/>
          <w:i/>
          <w:iCs/>
          <w:sz w:val="28"/>
          <w:szCs w:val="28"/>
          <w:lang w:val="el-GR"/>
        </w:rPr>
        <w:t xml:space="preserve">Γεωργίου </w:t>
      </w:r>
      <w:r w:rsidRPr="00200F19">
        <w:rPr>
          <w:rFonts w:ascii="Bookman Old Style" w:hAnsi="Bookman Old Style" w:cs="Arial"/>
          <w:b/>
          <w:i/>
          <w:iCs/>
          <w:sz w:val="28"/>
          <w:szCs w:val="28"/>
          <w:lang w:val="en-US"/>
        </w:rPr>
        <w:t>v</w:t>
      </w:r>
      <w:r w:rsidRPr="00200F19">
        <w:rPr>
          <w:rFonts w:ascii="Bookman Old Style" w:hAnsi="Bookman Old Style" w:cs="Arial"/>
          <w:b/>
          <w:i/>
          <w:iCs/>
          <w:sz w:val="28"/>
          <w:szCs w:val="28"/>
          <w:lang w:val="el-GR"/>
        </w:rPr>
        <w:t>. Αρχή</w:t>
      </w:r>
      <w:r w:rsidR="003F3E5F">
        <w:rPr>
          <w:rFonts w:ascii="Bookman Old Style" w:hAnsi="Bookman Old Style" w:cs="Arial"/>
          <w:b/>
          <w:i/>
          <w:iCs/>
          <w:sz w:val="28"/>
          <w:szCs w:val="28"/>
          <w:lang w:val="el-GR"/>
        </w:rPr>
        <w:t>ς</w:t>
      </w:r>
      <w:r w:rsidRPr="00200F19">
        <w:rPr>
          <w:rFonts w:ascii="Bookman Old Style" w:hAnsi="Bookman Old Style" w:cs="Arial"/>
          <w:b/>
          <w:i/>
          <w:iCs/>
          <w:sz w:val="28"/>
          <w:szCs w:val="28"/>
          <w:lang w:val="el-GR"/>
        </w:rPr>
        <w:t xml:space="preserve"> Ηλεκτρισμού Κύπρου (1995) 3 </w:t>
      </w:r>
      <w:r w:rsidRPr="00200F19">
        <w:rPr>
          <w:rFonts w:ascii="Bookman Old Style" w:hAnsi="Bookman Old Style" w:cs="Arial"/>
          <w:b/>
          <w:i/>
          <w:iCs/>
          <w:sz w:val="28"/>
          <w:szCs w:val="28"/>
          <w:lang w:val="en-US"/>
        </w:rPr>
        <w:t>A</w:t>
      </w:r>
      <w:r w:rsidRPr="00200F19">
        <w:rPr>
          <w:rFonts w:ascii="Bookman Old Style" w:hAnsi="Bookman Old Style" w:cs="Arial"/>
          <w:b/>
          <w:i/>
          <w:iCs/>
          <w:sz w:val="28"/>
          <w:szCs w:val="28"/>
          <w:lang w:val="el-GR"/>
        </w:rPr>
        <w:t>.</w:t>
      </w:r>
      <w:r w:rsidRPr="00200F19">
        <w:rPr>
          <w:rFonts w:ascii="Bookman Old Style" w:hAnsi="Bookman Old Style" w:cs="Arial"/>
          <w:b/>
          <w:i/>
          <w:iCs/>
          <w:sz w:val="28"/>
          <w:szCs w:val="28"/>
          <w:lang w:val="en-US"/>
        </w:rPr>
        <w:t>A</w:t>
      </w:r>
      <w:r w:rsidRPr="00200F19">
        <w:rPr>
          <w:rFonts w:ascii="Bookman Old Style" w:hAnsi="Bookman Old Style" w:cs="Arial"/>
          <w:b/>
          <w:i/>
          <w:iCs/>
          <w:sz w:val="28"/>
          <w:szCs w:val="28"/>
          <w:lang w:val="el-GR"/>
        </w:rPr>
        <w:t>.Δ.</w:t>
      </w:r>
      <w:r w:rsidR="003F3E5F">
        <w:rPr>
          <w:rFonts w:ascii="Bookman Old Style" w:hAnsi="Bookman Old Style" w:cs="Arial"/>
          <w:b/>
          <w:i/>
          <w:iCs/>
          <w:sz w:val="28"/>
          <w:szCs w:val="28"/>
          <w:lang w:val="el-GR"/>
        </w:rPr>
        <w:t xml:space="preserve"> </w:t>
      </w:r>
      <w:r w:rsidRPr="00200F19">
        <w:rPr>
          <w:rFonts w:ascii="Bookman Old Style" w:hAnsi="Bookman Old Style" w:cs="Arial"/>
          <w:b/>
          <w:i/>
          <w:iCs/>
          <w:sz w:val="28"/>
          <w:szCs w:val="28"/>
          <w:lang w:val="el-GR"/>
        </w:rPr>
        <w:t>424</w:t>
      </w:r>
      <w:r w:rsidRPr="00200F19">
        <w:rPr>
          <w:rFonts w:ascii="Bookman Old Style" w:hAnsi="Bookman Old Style" w:cs="Arial"/>
          <w:bCs/>
          <w:i/>
          <w:iCs/>
          <w:sz w:val="28"/>
          <w:szCs w:val="28"/>
          <w:lang w:val="el-GR"/>
        </w:rPr>
        <w:t xml:space="preserve">. </w:t>
      </w:r>
      <w:r w:rsidRPr="00200F19">
        <w:rPr>
          <w:rFonts w:ascii="Bookman Old Style" w:hAnsi="Bookman Old Style" w:cs="Arial"/>
          <w:bCs/>
          <w:sz w:val="28"/>
          <w:szCs w:val="28"/>
          <w:lang w:val="el-GR"/>
        </w:rPr>
        <w:t>Σε εκείνη την υπόθεση το Ανώτατο Δικαστήριο</w:t>
      </w:r>
      <w:r>
        <w:rPr>
          <w:rFonts w:ascii="Bookman Old Style" w:hAnsi="Bookman Old Style" w:cs="Arial"/>
          <w:bCs/>
          <w:sz w:val="28"/>
          <w:szCs w:val="28"/>
          <w:lang w:val="el-GR"/>
        </w:rPr>
        <w:t>, αφού υπογράμμισε τον εμπορικό χαρακτήρα της Αρχής Ηλεκτρισμού Κύπρου, κατέληξε ότι η διακοπή,</w:t>
      </w:r>
      <w:r w:rsidRPr="00200F19">
        <w:rPr>
          <w:rFonts w:ascii="Bookman Old Style" w:hAnsi="Bookman Old Style" w:cs="Arial"/>
          <w:bCs/>
          <w:sz w:val="28"/>
          <w:szCs w:val="28"/>
          <w:lang w:val="el-GR"/>
        </w:rPr>
        <w:t xml:space="preserve"> </w:t>
      </w:r>
      <w:r>
        <w:rPr>
          <w:rFonts w:ascii="Bookman Old Style" w:hAnsi="Bookman Old Style" w:cs="Arial"/>
          <w:bCs/>
          <w:sz w:val="28"/>
          <w:szCs w:val="28"/>
          <w:lang w:val="el-GR"/>
        </w:rPr>
        <w:t>από μέρους της Αρχής, του ηλεκτρικού ρεύματος στα υποστατικά τ</w:t>
      </w:r>
      <w:r w:rsidR="003F3E5F">
        <w:rPr>
          <w:rFonts w:ascii="Bookman Old Style" w:hAnsi="Bookman Old Style" w:cs="Arial"/>
          <w:bCs/>
          <w:sz w:val="28"/>
          <w:szCs w:val="28"/>
          <w:lang w:val="el-GR"/>
        </w:rPr>
        <w:t>ης</w:t>
      </w:r>
      <w:r>
        <w:rPr>
          <w:rFonts w:ascii="Bookman Old Style" w:hAnsi="Bookman Old Style" w:cs="Arial"/>
          <w:bCs/>
          <w:sz w:val="28"/>
          <w:szCs w:val="28"/>
          <w:lang w:val="el-GR"/>
        </w:rPr>
        <w:t xml:space="preserve"> </w:t>
      </w:r>
      <w:proofErr w:type="spellStart"/>
      <w:r>
        <w:rPr>
          <w:rFonts w:ascii="Bookman Old Style" w:hAnsi="Bookman Old Style" w:cs="Arial"/>
          <w:bCs/>
          <w:sz w:val="28"/>
          <w:szCs w:val="28"/>
          <w:lang w:val="el-GR"/>
        </w:rPr>
        <w:t>Εφεσείο</w:t>
      </w:r>
      <w:r w:rsidR="003F3E5F">
        <w:rPr>
          <w:rFonts w:ascii="Bookman Old Style" w:hAnsi="Bookman Old Style" w:cs="Arial"/>
          <w:bCs/>
          <w:sz w:val="28"/>
          <w:szCs w:val="28"/>
          <w:lang w:val="el-GR"/>
        </w:rPr>
        <w:t>υσας</w:t>
      </w:r>
      <w:proofErr w:type="spellEnd"/>
      <w:r>
        <w:rPr>
          <w:rFonts w:ascii="Bookman Old Style" w:hAnsi="Bookman Old Style" w:cs="Arial"/>
          <w:bCs/>
          <w:sz w:val="28"/>
          <w:szCs w:val="28"/>
          <w:lang w:val="el-GR"/>
        </w:rPr>
        <w:t xml:space="preserve"> μετά από άρνηση τ</w:t>
      </w:r>
      <w:r w:rsidR="00777355">
        <w:rPr>
          <w:rFonts w:ascii="Bookman Old Style" w:hAnsi="Bookman Old Style" w:cs="Arial"/>
          <w:bCs/>
          <w:sz w:val="28"/>
          <w:szCs w:val="28"/>
          <w:lang w:val="el-GR"/>
        </w:rPr>
        <w:t>ης</w:t>
      </w:r>
      <w:r>
        <w:rPr>
          <w:rFonts w:ascii="Bookman Old Style" w:hAnsi="Bookman Old Style" w:cs="Arial"/>
          <w:bCs/>
          <w:sz w:val="28"/>
          <w:szCs w:val="28"/>
          <w:lang w:val="el-GR"/>
        </w:rPr>
        <w:t xml:space="preserve"> τελευταί</w:t>
      </w:r>
      <w:r w:rsidR="00777355">
        <w:rPr>
          <w:rFonts w:ascii="Bookman Old Style" w:hAnsi="Bookman Old Style" w:cs="Arial"/>
          <w:bCs/>
          <w:sz w:val="28"/>
          <w:szCs w:val="28"/>
          <w:lang w:val="el-GR"/>
        </w:rPr>
        <w:t>ας</w:t>
      </w:r>
      <w:r>
        <w:rPr>
          <w:rFonts w:ascii="Bookman Old Style" w:hAnsi="Bookman Old Style" w:cs="Arial"/>
          <w:bCs/>
          <w:sz w:val="28"/>
          <w:szCs w:val="28"/>
          <w:lang w:val="el-GR"/>
        </w:rPr>
        <w:t xml:space="preserve"> να εξοφλήσει την οφειλή τ</w:t>
      </w:r>
      <w:r w:rsidR="00777355">
        <w:rPr>
          <w:rFonts w:ascii="Bookman Old Style" w:hAnsi="Bookman Old Style" w:cs="Arial"/>
          <w:bCs/>
          <w:sz w:val="28"/>
          <w:szCs w:val="28"/>
          <w:lang w:val="el-GR"/>
        </w:rPr>
        <w:t>ης</w:t>
      </w:r>
      <w:r>
        <w:rPr>
          <w:rFonts w:ascii="Bookman Old Style" w:hAnsi="Bookman Old Style" w:cs="Arial"/>
          <w:bCs/>
          <w:sz w:val="28"/>
          <w:szCs w:val="28"/>
          <w:lang w:val="el-GR"/>
        </w:rPr>
        <w:t xml:space="preserve">, συνιστούσε άσκηση εξουσίας που της </w:t>
      </w:r>
      <w:proofErr w:type="spellStart"/>
      <w:r>
        <w:rPr>
          <w:rFonts w:ascii="Bookman Old Style" w:hAnsi="Bookman Old Style" w:cs="Arial"/>
          <w:bCs/>
          <w:sz w:val="28"/>
          <w:szCs w:val="28"/>
          <w:lang w:val="el-GR"/>
        </w:rPr>
        <w:t>παρείχετο</w:t>
      </w:r>
      <w:proofErr w:type="spellEnd"/>
      <w:r>
        <w:rPr>
          <w:rFonts w:ascii="Bookman Old Style" w:hAnsi="Bookman Old Style" w:cs="Arial"/>
          <w:bCs/>
          <w:sz w:val="28"/>
          <w:szCs w:val="28"/>
          <w:lang w:val="el-GR"/>
        </w:rPr>
        <w:t xml:space="preserve"> και πήγαζε από τη σύμβαση που είχε υπογράψει με το συγκεκριμένο καταναλωτή. Κρίθηκε δε ότι η εν λόγω πράξη δεν απέβλεπε στην πραγμάτωση των σκοπών της Αρχής που τέθηκαν από το νόμο που την καθίδρυσε</w:t>
      </w:r>
      <w:r w:rsidR="003F3E5F">
        <w:rPr>
          <w:rFonts w:ascii="Bookman Old Style" w:hAnsi="Bookman Old Style" w:cs="Arial"/>
          <w:bCs/>
          <w:sz w:val="28"/>
          <w:szCs w:val="28"/>
          <w:lang w:val="el-GR"/>
        </w:rPr>
        <w:t>,</w:t>
      </w:r>
      <w:r>
        <w:rPr>
          <w:rFonts w:ascii="Bookman Old Style" w:hAnsi="Bookman Old Style" w:cs="Arial"/>
          <w:bCs/>
          <w:sz w:val="28"/>
          <w:szCs w:val="28"/>
          <w:lang w:val="el-GR"/>
        </w:rPr>
        <w:t xml:space="preserve"> αλλά στη διαχείριση της περιουσίας της και στη διαφύλαξη των συμβατικών της δικαιωμάτων έναντι του πελάτη-καταναλωτή της ο οποίος είχε παραβεί τις συμβατικές του υποχρεώσεις.</w:t>
      </w:r>
    </w:p>
    <w:p w14:paraId="78A928C4" w14:textId="007ADBE1" w:rsidR="0096773D" w:rsidRDefault="0096773D" w:rsidP="0096773D">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lastRenderedPageBreak/>
        <w:t xml:space="preserve"> </w:t>
      </w:r>
    </w:p>
    <w:p w14:paraId="385B5054" w14:textId="63F4C67D" w:rsidR="0096773D" w:rsidRDefault="0096773D" w:rsidP="0096773D">
      <w:pPr>
        <w:spacing w:line="480" w:lineRule="auto"/>
        <w:ind w:right="-35"/>
        <w:jc w:val="both"/>
        <w:rPr>
          <w:rFonts w:ascii="Bookman Old Style" w:hAnsi="Bookman Old Style"/>
          <w:sz w:val="28"/>
          <w:szCs w:val="28"/>
          <w:lang w:val="el-GR"/>
        </w:rPr>
      </w:pPr>
      <w:r>
        <w:rPr>
          <w:rFonts w:ascii="Bookman Old Style" w:hAnsi="Bookman Old Style" w:cs="Arial"/>
          <w:bCs/>
          <w:sz w:val="28"/>
          <w:szCs w:val="28"/>
          <w:lang w:val="el-GR"/>
        </w:rPr>
        <w:t xml:space="preserve">Είναι προφανές ότι τα δεδομένα της υπόθεσης </w:t>
      </w:r>
      <w:r w:rsidRPr="00DA7699">
        <w:rPr>
          <w:rFonts w:ascii="Bookman Old Style" w:hAnsi="Bookman Old Style" w:cs="Arial"/>
          <w:b/>
          <w:i/>
          <w:iCs/>
          <w:sz w:val="28"/>
          <w:szCs w:val="28"/>
          <w:lang w:val="el-GR"/>
        </w:rPr>
        <w:t xml:space="preserve">Γεωργίου </w:t>
      </w:r>
      <w:r>
        <w:rPr>
          <w:rFonts w:ascii="Bookman Old Style" w:hAnsi="Bookman Old Style" w:cs="Arial"/>
          <w:bCs/>
          <w:sz w:val="28"/>
          <w:szCs w:val="28"/>
          <w:lang w:val="el-GR"/>
        </w:rPr>
        <w:t xml:space="preserve">(ανωτέρω) διαφέρουν ουσιωδώς από τα δεδομένα της υπό κρίση περίπτωσης. Η θέση που προωθήθηκε από μέρους της </w:t>
      </w:r>
      <w:proofErr w:type="spellStart"/>
      <w:r>
        <w:rPr>
          <w:rFonts w:ascii="Bookman Old Style" w:hAnsi="Bookman Old Style" w:cs="Arial"/>
          <w:bCs/>
          <w:sz w:val="28"/>
          <w:szCs w:val="28"/>
          <w:lang w:val="el-GR"/>
        </w:rPr>
        <w:t>Εφεσείουσας</w:t>
      </w:r>
      <w:proofErr w:type="spellEnd"/>
      <w:r>
        <w:rPr>
          <w:rFonts w:ascii="Bookman Old Style" w:hAnsi="Bookman Old Style" w:cs="Arial"/>
          <w:bCs/>
          <w:sz w:val="28"/>
          <w:szCs w:val="28"/>
          <w:lang w:val="el-GR"/>
        </w:rPr>
        <w:t xml:space="preserve"> ότι η επιβολή των τελών, ως αυτά προκύπτουν από τα επίδικα τιμολόγια, βασίζονται σε συμφωνίες μεταξύ των μερών που συνδέονται με την επιβολή εισφορών και τελών ως αποτέλεσμα της παροχής υπηρεσιών από τους Εφεσίβλητους, δεν μας βρίσκει σύμφωνους. Όπως πολύ εύστοχα επεσήμανε η πλευρά των Εφεσίβλητων, εντασσόμενη μια εταιρεία στο ΧΑΚ, που είναι, όπως ήδη έχει πιο πάνω αναδειχθεί, ο οργανισμός που, εκ του νόμου, εποπτεύει και ρυθμίζει τη χρηματιστηριακή αγορά αξιών και τις </w:t>
      </w:r>
      <w:bookmarkStart w:id="2" w:name="_Hlk149303116"/>
      <w:r>
        <w:rPr>
          <w:rFonts w:ascii="Bookman Old Style" w:hAnsi="Bookman Old Style" w:cs="Arial"/>
          <w:bCs/>
          <w:sz w:val="28"/>
          <w:szCs w:val="28"/>
          <w:lang w:val="el-GR"/>
        </w:rPr>
        <w:t>χρηματιστηριακές συναλλαγές</w:t>
      </w:r>
      <w:bookmarkEnd w:id="2"/>
      <w:r>
        <w:rPr>
          <w:rFonts w:ascii="Bookman Old Style" w:hAnsi="Bookman Old Style" w:cs="Arial"/>
          <w:bCs/>
          <w:sz w:val="28"/>
          <w:szCs w:val="28"/>
          <w:lang w:val="el-GR"/>
        </w:rPr>
        <w:t>, αυτή υπόκειται στην εξουσία του ΧΑΚ να καθορίζει, επιβάλλει τροποποιεί, μονομερώς και αυτεξούσια, τέλη και δικαιώματα σε σχέση με</w:t>
      </w:r>
      <w:r w:rsidRPr="00FA53C9">
        <w:rPr>
          <w:rFonts w:ascii="Bookman Old Style" w:hAnsi="Bookman Old Style" w:cs="Arial"/>
          <w:bCs/>
          <w:sz w:val="28"/>
          <w:szCs w:val="28"/>
          <w:lang w:val="el-GR"/>
        </w:rPr>
        <w:t xml:space="preserve"> </w:t>
      </w:r>
      <w:r>
        <w:rPr>
          <w:rFonts w:ascii="Bookman Old Style" w:hAnsi="Bookman Old Style" w:cs="Arial"/>
          <w:bCs/>
          <w:sz w:val="28"/>
          <w:szCs w:val="28"/>
          <w:lang w:val="el-GR"/>
        </w:rPr>
        <w:t>τη συμμετοχή της στο Χρηματιστήριο</w:t>
      </w:r>
      <w:r w:rsidRPr="00FA53C9">
        <w:rPr>
          <w:rFonts w:ascii="Bookman Old Style" w:hAnsi="Bookman Old Style" w:cs="Arial"/>
          <w:bCs/>
          <w:sz w:val="28"/>
          <w:szCs w:val="28"/>
          <w:lang w:val="el-GR"/>
        </w:rPr>
        <w:t xml:space="preserve"> </w:t>
      </w:r>
      <w:r>
        <w:rPr>
          <w:rFonts w:ascii="Bookman Old Style" w:hAnsi="Bookman Old Style" w:cs="Arial"/>
          <w:bCs/>
          <w:sz w:val="28"/>
          <w:szCs w:val="28"/>
          <w:lang w:val="el-GR"/>
        </w:rPr>
        <w:t>και τις χρηματιστηριακές συναλλαγές που διενεργούνται. Η δε δυνατότητα του ΧΑΚ «</w:t>
      </w:r>
      <w:r w:rsidRPr="00946E41">
        <w:rPr>
          <w:rFonts w:ascii="Bookman Old Style" w:hAnsi="Bookman Old Style" w:cs="Arial"/>
          <w:bCs/>
          <w:i/>
          <w:iCs/>
          <w:sz w:val="28"/>
          <w:szCs w:val="28"/>
          <w:lang w:val="el-GR"/>
        </w:rPr>
        <w:t>να ορίζει δικαιώματα επί συναλλαγών που καταρτίζονται στο Χρηματιστήριο ή ανακοινώνονται εις αυτό,…….. όπως επίσης και άλλα δικαιώματα, τέλη και συνδρομές</w:t>
      </w:r>
      <w:r>
        <w:rPr>
          <w:rFonts w:ascii="Bookman Old Style" w:hAnsi="Bookman Old Style" w:cs="Arial"/>
          <w:bCs/>
          <w:sz w:val="28"/>
          <w:szCs w:val="28"/>
          <w:lang w:val="el-GR"/>
        </w:rPr>
        <w:t xml:space="preserve">…..» πηγάζει από την ίδια τη νομοθεσία και συγκεκριμένα το </w:t>
      </w:r>
      <w:r w:rsidRPr="00C75984">
        <w:rPr>
          <w:rFonts w:ascii="Bookman Old Style" w:hAnsi="Bookman Old Style" w:cs="Arial"/>
          <w:b/>
          <w:i/>
          <w:iCs/>
          <w:sz w:val="28"/>
          <w:szCs w:val="28"/>
          <w:lang w:val="el-GR"/>
        </w:rPr>
        <w:t xml:space="preserve">Άρθρο 10(2)(ε) </w:t>
      </w:r>
      <w:r w:rsidRPr="00777355">
        <w:rPr>
          <w:rFonts w:ascii="Bookman Old Style" w:hAnsi="Bookman Old Style" w:cs="Arial"/>
          <w:bCs/>
          <w:sz w:val="28"/>
          <w:szCs w:val="28"/>
          <w:lang w:val="el-GR"/>
        </w:rPr>
        <w:t>του</w:t>
      </w:r>
      <w:r w:rsidRPr="00C75984">
        <w:rPr>
          <w:rFonts w:ascii="Bookman Old Style" w:hAnsi="Bookman Old Style" w:cs="Arial"/>
          <w:b/>
          <w:i/>
          <w:iCs/>
          <w:sz w:val="28"/>
          <w:szCs w:val="28"/>
          <w:lang w:val="el-GR"/>
        </w:rPr>
        <w:t xml:space="preserve"> Ν. 14(Ι)/1993</w:t>
      </w:r>
      <w:r w:rsidR="003F3E5F">
        <w:rPr>
          <w:rFonts w:ascii="Bookman Old Style" w:hAnsi="Bookman Old Style" w:cs="Arial"/>
          <w:bCs/>
          <w:sz w:val="28"/>
          <w:szCs w:val="28"/>
          <w:lang w:val="el-GR"/>
        </w:rPr>
        <w:t>,</w:t>
      </w:r>
      <w:r>
        <w:rPr>
          <w:rFonts w:ascii="Bookman Old Style" w:hAnsi="Bookman Old Style" w:cs="Arial"/>
          <w:bCs/>
          <w:sz w:val="28"/>
          <w:szCs w:val="28"/>
          <w:lang w:val="el-GR"/>
        </w:rPr>
        <w:t xml:space="preserve"> καθώς και το </w:t>
      </w:r>
      <w:r w:rsidRPr="00C75984">
        <w:rPr>
          <w:rFonts w:ascii="Bookman Old Style" w:hAnsi="Bookman Old Style" w:cs="Arial"/>
          <w:b/>
          <w:i/>
          <w:iCs/>
          <w:sz w:val="28"/>
          <w:szCs w:val="28"/>
          <w:lang w:val="el-GR"/>
        </w:rPr>
        <w:t xml:space="preserve">Άρθρο 88 </w:t>
      </w:r>
      <w:r w:rsidRPr="00777355">
        <w:rPr>
          <w:rFonts w:ascii="Bookman Old Style" w:hAnsi="Bookman Old Style" w:cs="Arial"/>
          <w:bCs/>
          <w:sz w:val="28"/>
          <w:szCs w:val="28"/>
          <w:lang w:val="el-GR"/>
        </w:rPr>
        <w:t>της</w:t>
      </w:r>
      <w:r w:rsidRPr="00C75984">
        <w:rPr>
          <w:rFonts w:ascii="Bookman Old Style" w:hAnsi="Bookman Old Style" w:cs="Arial"/>
          <w:b/>
          <w:i/>
          <w:iCs/>
          <w:sz w:val="28"/>
          <w:szCs w:val="28"/>
          <w:lang w:val="el-GR"/>
        </w:rPr>
        <w:t xml:space="preserve"> ΚΔΠ 214/1995</w:t>
      </w:r>
      <w:r>
        <w:rPr>
          <w:rFonts w:ascii="Bookman Old Style" w:hAnsi="Bookman Old Style" w:cs="Arial"/>
          <w:b/>
          <w:i/>
          <w:iCs/>
          <w:sz w:val="28"/>
          <w:szCs w:val="28"/>
          <w:lang w:val="el-GR"/>
        </w:rPr>
        <w:t xml:space="preserve"> </w:t>
      </w:r>
      <w:r w:rsidRPr="00C75984">
        <w:rPr>
          <w:rFonts w:ascii="Bookman Old Style" w:hAnsi="Bookman Old Style" w:cs="Arial"/>
          <w:bCs/>
          <w:sz w:val="28"/>
          <w:szCs w:val="28"/>
          <w:lang w:val="el-GR"/>
        </w:rPr>
        <w:t xml:space="preserve">το οποίο περιλαμβάνει συγκεκριμένο </w:t>
      </w:r>
      <w:r w:rsidRPr="00C75984">
        <w:rPr>
          <w:rFonts w:ascii="Bookman Old Style" w:hAnsi="Bookman Old Style" w:cs="Arial"/>
          <w:bCs/>
          <w:sz w:val="28"/>
          <w:szCs w:val="28"/>
          <w:lang w:val="el-GR"/>
        </w:rPr>
        <w:lastRenderedPageBreak/>
        <w:t>Παράρτημα με τα δυνάμενα να επιβληθούν δικαιώματα και χρεώσεις για τις διάφορες κατηγορίες χρηματιστηριακών συναλλαγών και υπηρεσιών</w:t>
      </w:r>
      <w:r w:rsidRPr="00AE6B0B">
        <w:rPr>
          <w:rFonts w:ascii="Bookman Old Style" w:hAnsi="Bookman Old Style" w:cs="Arial"/>
          <w:bCs/>
          <w:sz w:val="28"/>
          <w:szCs w:val="28"/>
          <w:lang w:val="el-GR"/>
        </w:rPr>
        <w:t xml:space="preserve"> </w:t>
      </w:r>
      <w:r>
        <w:rPr>
          <w:rFonts w:ascii="Bookman Old Style" w:hAnsi="Bookman Old Style" w:cs="Arial"/>
          <w:bCs/>
          <w:sz w:val="28"/>
          <w:szCs w:val="28"/>
          <w:lang w:val="el-GR"/>
        </w:rPr>
        <w:t xml:space="preserve">και στο οποίο ρητά προνοείται στο </w:t>
      </w:r>
      <w:r w:rsidRPr="00AE6B0B">
        <w:rPr>
          <w:rFonts w:ascii="Bookman Old Style" w:hAnsi="Bookman Old Style" w:cs="Arial"/>
          <w:b/>
          <w:i/>
          <w:iCs/>
          <w:sz w:val="28"/>
          <w:szCs w:val="28"/>
          <w:lang w:val="el-GR"/>
        </w:rPr>
        <w:t>εδάφιο (2)</w:t>
      </w:r>
      <w:r>
        <w:rPr>
          <w:rFonts w:ascii="Bookman Old Style" w:hAnsi="Bookman Old Style" w:cs="Arial"/>
          <w:bCs/>
          <w:sz w:val="28"/>
          <w:szCs w:val="28"/>
          <w:lang w:val="el-GR"/>
        </w:rPr>
        <w:t xml:space="preserve"> ότι αυτά θα ισχύουν μέχρις ότου εκδοθεί και δημοσιευθεί απόφαση του Συμβουλίου του ΧΑΚ που να ορίζει ή να τροποποιεί τα τέλη και τα δικαιώματα</w:t>
      </w:r>
      <w:r w:rsidRPr="00C75984">
        <w:rPr>
          <w:rFonts w:ascii="Bookman Old Style" w:hAnsi="Bookman Old Style" w:cs="Arial"/>
          <w:bCs/>
          <w:sz w:val="28"/>
          <w:szCs w:val="28"/>
          <w:lang w:val="el-GR"/>
        </w:rPr>
        <w:t>.</w:t>
      </w:r>
      <w:r>
        <w:rPr>
          <w:rFonts w:ascii="Bookman Old Style" w:hAnsi="Bookman Old Style" w:cs="Arial"/>
          <w:bCs/>
          <w:sz w:val="28"/>
          <w:szCs w:val="28"/>
          <w:lang w:val="el-GR"/>
        </w:rPr>
        <w:t xml:space="preserve"> Το ΧΑΚ, κατά την ενάσκηση των εξουσιών του απέναντι στους εισηγμένους εκδότες και κατά τον καθορισμό και την επιβολή των χρεώσεων, ενεργεί, επομένως, ως φορέας δημόσιας εξουσίας (</w:t>
      </w:r>
      <w:r w:rsidRPr="00AC34CD">
        <w:rPr>
          <w:rFonts w:ascii="Bookman Old Style" w:hAnsi="Bookman Old Style" w:cs="Arial"/>
          <w:bCs/>
          <w:i/>
          <w:iCs/>
          <w:sz w:val="28"/>
          <w:szCs w:val="28"/>
          <w:lang w:val="en-US"/>
        </w:rPr>
        <w:t>imperium</w:t>
      </w:r>
      <w:r w:rsidRPr="00AC34CD">
        <w:rPr>
          <w:rFonts w:ascii="Bookman Old Style" w:hAnsi="Bookman Old Style" w:cs="Arial"/>
          <w:bCs/>
          <w:sz w:val="28"/>
          <w:szCs w:val="28"/>
          <w:lang w:val="el-GR"/>
        </w:rPr>
        <w:t>)</w:t>
      </w:r>
      <w:r>
        <w:rPr>
          <w:rFonts w:ascii="Bookman Old Style" w:hAnsi="Bookman Old Style" w:cs="Arial"/>
          <w:bCs/>
          <w:sz w:val="28"/>
          <w:szCs w:val="28"/>
          <w:lang w:val="el-GR"/>
        </w:rPr>
        <w:t xml:space="preserve"> προς πραγμάτωση των δημόσιων σκοπών για τους οποίους έχει ιδρυθεί και όχι ως υποκείμενο δικαιωμάτων και υποχρεώσεων στο πλαίσιο συμβατικής σχέσης μαζί τους αναγόμενο στη σφαίρα του ιδιωτικού δικαίου</w:t>
      </w:r>
      <w:r w:rsidRPr="00AC34CD">
        <w:rPr>
          <w:rFonts w:ascii="Bookman Old Style" w:hAnsi="Bookman Old Style" w:cs="Arial"/>
          <w:bCs/>
          <w:sz w:val="28"/>
          <w:szCs w:val="28"/>
          <w:lang w:val="el-GR"/>
        </w:rPr>
        <w:t xml:space="preserve"> (</w:t>
      </w:r>
      <w:r w:rsidRPr="00AC34CD">
        <w:rPr>
          <w:rFonts w:ascii="Bookman Old Style" w:hAnsi="Bookman Old Style" w:cs="Arial"/>
          <w:bCs/>
          <w:i/>
          <w:iCs/>
          <w:sz w:val="28"/>
          <w:szCs w:val="28"/>
          <w:lang w:val="en-US"/>
        </w:rPr>
        <w:t>fiscus</w:t>
      </w:r>
      <w:r w:rsidRPr="00AC34CD">
        <w:rPr>
          <w:rFonts w:ascii="Bookman Old Style" w:hAnsi="Bookman Old Style" w:cs="Arial"/>
          <w:bCs/>
          <w:sz w:val="28"/>
          <w:szCs w:val="28"/>
          <w:lang w:val="el-GR"/>
        </w:rPr>
        <w:t>)</w:t>
      </w:r>
      <w:r w:rsidRPr="00722689">
        <w:rPr>
          <w:rFonts w:ascii="Bookman Old Style" w:hAnsi="Bookman Old Style" w:cs="Arial"/>
          <w:bCs/>
          <w:sz w:val="28"/>
          <w:szCs w:val="28"/>
          <w:lang w:val="el-GR"/>
        </w:rPr>
        <w:t xml:space="preserve"> (</w:t>
      </w:r>
      <w:r w:rsidR="003F3E5F">
        <w:rPr>
          <w:rFonts w:ascii="Bookman Old Style" w:hAnsi="Bookman Old Style" w:cs="Arial"/>
          <w:bCs/>
          <w:sz w:val="28"/>
          <w:szCs w:val="28"/>
          <w:lang w:val="el-GR"/>
        </w:rPr>
        <w:t>β</w:t>
      </w:r>
      <w:r w:rsidRPr="00722689">
        <w:rPr>
          <w:rFonts w:ascii="Bookman Old Style" w:hAnsi="Bookman Old Style" w:cs="Arial"/>
          <w:bCs/>
          <w:sz w:val="28"/>
          <w:szCs w:val="28"/>
          <w:lang w:val="el-GR"/>
        </w:rPr>
        <w:t>λ.</w:t>
      </w:r>
      <w:r w:rsidRPr="00722689">
        <w:rPr>
          <w:rFonts w:ascii="Bookman Old Style" w:hAnsi="Bookman Old Style"/>
          <w:b/>
          <w:bCs/>
          <w:i/>
          <w:iCs/>
          <w:sz w:val="28"/>
          <w:szCs w:val="28"/>
          <w:lang w:val="el-GR"/>
        </w:rPr>
        <w:t xml:space="preserve"> </w:t>
      </w:r>
      <w:proofErr w:type="spellStart"/>
      <w:r w:rsidRPr="00722689">
        <w:rPr>
          <w:rFonts w:ascii="Bookman Old Style" w:hAnsi="Bookman Old Style"/>
          <w:b/>
          <w:bCs/>
          <w:i/>
          <w:iCs/>
          <w:sz w:val="28"/>
          <w:szCs w:val="28"/>
          <w:lang w:val="el-GR"/>
        </w:rPr>
        <w:t>Ζέμπασιης</w:t>
      </w:r>
      <w:proofErr w:type="spellEnd"/>
      <w:r w:rsidRPr="00722689">
        <w:rPr>
          <w:rFonts w:ascii="Bookman Old Style" w:hAnsi="Bookman Old Style"/>
          <w:b/>
          <w:bCs/>
          <w:i/>
          <w:iCs/>
          <w:sz w:val="28"/>
          <w:szCs w:val="28"/>
          <w:lang w:val="el-GR"/>
        </w:rPr>
        <w:t xml:space="preserve"> κ.ά. ν. Δημοκρατίας</w:t>
      </w:r>
      <w:r>
        <w:rPr>
          <w:rFonts w:ascii="Bookman Old Style" w:hAnsi="Bookman Old Style"/>
          <w:b/>
          <w:bCs/>
          <w:i/>
          <w:iCs/>
          <w:sz w:val="28"/>
          <w:szCs w:val="28"/>
          <w:lang w:val="el-GR"/>
        </w:rPr>
        <w:t xml:space="preserve"> κ.ά.</w:t>
      </w:r>
      <w:r w:rsidRPr="00722689">
        <w:rPr>
          <w:rFonts w:ascii="Bookman Old Style" w:hAnsi="Bookman Old Style"/>
          <w:b/>
          <w:bCs/>
          <w:i/>
          <w:iCs/>
          <w:sz w:val="28"/>
          <w:szCs w:val="28"/>
          <w:lang w:val="el-GR"/>
        </w:rPr>
        <w:t xml:space="preserve"> (2010) 3 Α.Α.Δ. 442</w:t>
      </w:r>
      <w:r>
        <w:rPr>
          <w:rFonts w:ascii="Bookman Old Style" w:hAnsi="Bookman Old Style"/>
          <w:b/>
          <w:bCs/>
          <w:i/>
          <w:iCs/>
          <w:sz w:val="28"/>
          <w:szCs w:val="28"/>
          <w:lang w:val="el-GR"/>
        </w:rPr>
        <w:t xml:space="preserve"> </w:t>
      </w:r>
      <w:r w:rsidRPr="00722689">
        <w:rPr>
          <w:rFonts w:ascii="Bookman Old Style" w:hAnsi="Bookman Old Style"/>
          <w:sz w:val="28"/>
          <w:szCs w:val="28"/>
          <w:lang w:val="el-GR"/>
        </w:rPr>
        <w:t>και</w:t>
      </w:r>
      <w:r>
        <w:rPr>
          <w:rFonts w:ascii="Bookman Old Style" w:hAnsi="Bookman Old Style"/>
          <w:b/>
          <w:bCs/>
          <w:i/>
          <w:iCs/>
          <w:sz w:val="28"/>
          <w:szCs w:val="28"/>
          <w:lang w:val="el-GR"/>
        </w:rPr>
        <w:t xml:space="preserve"> Κωνσταντινίδη</w:t>
      </w:r>
      <w:r w:rsidRPr="00722689">
        <w:rPr>
          <w:rFonts w:ascii="Bookman Old Style" w:hAnsi="Bookman Old Style"/>
          <w:b/>
          <w:bCs/>
          <w:i/>
          <w:iCs/>
          <w:sz w:val="28"/>
          <w:szCs w:val="28"/>
          <w:lang w:val="el-GR"/>
        </w:rPr>
        <w:t xml:space="preserve"> ν.</w:t>
      </w:r>
      <w:r>
        <w:rPr>
          <w:rFonts w:ascii="Bookman Old Style" w:hAnsi="Bookman Old Style"/>
          <w:b/>
          <w:bCs/>
          <w:i/>
          <w:iCs/>
          <w:sz w:val="28"/>
          <w:szCs w:val="28"/>
          <w:lang w:val="el-GR"/>
        </w:rPr>
        <w:t xml:space="preserve"> Κυπριακής Δημοκρατίας μέσω του Υπουργείου Άμυνας, Αναθεωρητική Έφεση </w:t>
      </w:r>
      <w:proofErr w:type="spellStart"/>
      <w:r w:rsidR="003F3E5F">
        <w:rPr>
          <w:rFonts w:ascii="Bookman Old Style" w:hAnsi="Bookman Old Style"/>
          <w:b/>
          <w:bCs/>
          <w:i/>
          <w:iCs/>
          <w:sz w:val="28"/>
          <w:szCs w:val="28"/>
          <w:lang w:val="el-GR"/>
        </w:rPr>
        <w:t>Α</w:t>
      </w:r>
      <w:r>
        <w:rPr>
          <w:rFonts w:ascii="Bookman Old Style" w:hAnsi="Bookman Old Style"/>
          <w:b/>
          <w:bCs/>
          <w:i/>
          <w:iCs/>
          <w:sz w:val="28"/>
          <w:szCs w:val="28"/>
          <w:lang w:val="el-GR"/>
        </w:rPr>
        <w:t>ρ</w:t>
      </w:r>
      <w:proofErr w:type="spellEnd"/>
      <w:r>
        <w:rPr>
          <w:rFonts w:ascii="Bookman Old Style" w:hAnsi="Bookman Old Style"/>
          <w:b/>
          <w:bCs/>
          <w:i/>
          <w:iCs/>
          <w:sz w:val="28"/>
          <w:szCs w:val="28"/>
          <w:lang w:val="el-GR"/>
        </w:rPr>
        <w:t xml:space="preserve">. 6/2013, </w:t>
      </w:r>
      <w:proofErr w:type="spellStart"/>
      <w:r>
        <w:rPr>
          <w:rFonts w:ascii="Bookman Old Style" w:hAnsi="Bookman Old Style"/>
          <w:b/>
          <w:bCs/>
          <w:i/>
          <w:iCs/>
          <w:sz w:val="28"/>
          <w:szCs w:val="28"/>
          <w:lang w:val="el-GR"/>
        </w:rPr>
        <w:t>ημερ</w:t>
      </w:r>
      <w:proofErr w:type="spellEnd"/>
      <w:r>
        <w:rPr>
          <w:rFonts w:ascii="Bookman Old Style" w:hAnsi="Bookman Old Style"/>
          <w:b/>
          <w:bCs/>
          <w:i/>
          <w:iCs/>
          <w:sz w:val="28"/>
          <w:szCs w:val="28"/>
          <w:lang w:val="el-GR"/>
        </w:rPr>
        <w:t>. 10/7/2019</w:t>
      </w:r>
      <w:r w:rsidRPr="00722689">
        <w:rPr>
          <w:rFonts w:ascii="Bookman Old Style" w:hAnsi="Bookman Old Style"/>
          <w:sz w:val="28"/>
          <w:szCs w:val="28"/>
          <w:lang w:val="el-GR"/>
        </w:rPr>
        <w:t>).</w:t>
      </w:r>
    </w:p>
    <w:p w14:paraId="222578CA" w14:textId="77777777" w:rsidR="0096773D" w:rsidRDefault="0096773D" w:rsidP="0096773D">
      <w:pPr>
        <w:spacing w:line="480" w:lineRule="auto"/>
        <w:ind w:right="-35"/>
        <w:jc w:val="both"/>
        <w:rPr>
          <w:rFonts w:ascii="Bookman Old Style" w:hAnsi="Bookman Old Style"/>
          <w:sz w:val="28"/>
          <w:szCs w:val="28"/>
          <w:lang w:val="el-GR"/>
        </w:rPr>
      </w:pPr>
    </w:p>
    <w:p w14:paraId="1297A1CC" w14:textId="62A4EF3A" w:rsidR="0096773D" w:rsidRDefault="0096773D" w:rsidP="0096773D">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Ως εκ των ανωτέρω και σ</w:t>
      </w:r>
      <w:r w:rsidRPr="003000D5">
        <w:rPr>
          <w:rFonts w:ascii="Bookman Old Style" w:hAnsi="Bookman Old Style" w:cs="Arial"/>
          <w:sz w:val="28"/>
          <w:szCs w:val="28"/>
          <w:lang w:val="el-GR"/>
        </w:rPr>
        <w:t xml:space="preserve">ε πλήρη ταύτιση με το πρωτόδικο </w:t>
      </w:r>
      <w:r w:rsidRPr="00335116">
        <w:rPr>
          <w:rFonts w:ascii="Bookman Old Style" w:hAnsi="Bookman Old Style" w:cs="Arial"/>
          <w:sz w:val="28"/>
          <w:szCs w:val="28"/>
          <w:lang w:val="el-GR"/>
        </w:rPr>
        <w:t>Δ</w:t>
      </w:r>
      <w:r w:rsidRPr="003000D5">
        <w:rPr>
          <w:rFonts w:ascii="Bookman Old Style" w:hAnsi="Bookman Old Style" w:cs="Arial"/>
          <w:sz w:val="28"/>
          <w:szCs w:val="28"/>
          <w:lang w:val="el-GR"/>
        </w:rPr>
        <w:t>ικαστήριο</w:t>
      </w:r>
      <w:r>
        <w:rPr>
          <w:rFonts w:ascii="Bookman Old Style" w:hAnsi="Bookman Old Style" w:cs="Arial"/>
          <w:sz w:val="28"/>
          <w:szCs w:val="28"/>
          <w:lang w:val="el-GR"/>
        </w:rPr>
        <w:t>,</w:t>
      </w:r>
      <w:r w:rsidRPr="003000D5">
        <w:rPr>
          <w:rFonts w:ascii="Bookman Old Style" w:hAnsi="Bookman Old Style" w:cs="Arial"/>
          <w:sz w:val="28"/>
          <w:szCs w:val="28"/>
          <w:lang w:val="el-GR"/>
        </w:rPr>
        <w:t xml:space="preserve"> θεωρούμε</w:t>
      </w:r>
      <w:r w:rsidR="0024647F">
        <w:rPr>
          <w:rFonts w:ascii="Bookman Old Style" w:hAnsi="Bookman Old Style" w:cs="Arial"/>
          <w:sz w:val="28"/>
          <w:szCs w:val="28"/>
          <w:lang w:val="el-GR"/>
        </w:rPr>
        <w:t xml:space="preserve"> ότι</w:t>
      </w:r>
      <w:r w:rsidRPr="003000D5">
        <w:rPr>
          <w:rFonts w:ascii="Bookman Old Style" w:hAnsi="Bookman Old Style" w:cs="Arial"/>
          <w:sz w:val="28"/>
          <w:szCs w:val="28"/>
          <w:lang w:val="el-GR"/>
        </w:rPr>
        <w:t xml:space="preserve"> </w:t>
      </w:r>
      <w:r w:rsidR="0024647F">
        <w:rPr>
          <w:rFonts w:ascii="Bookman Old Style" w:hAnsi="Bookman Old Style" w:cs="Arial"/>
          <w:sz w:val="28"/>
          <w:szCs w:val="28"/>
          <w:lang w:val="el-GR"/>
        </w:rPr>
        <w:t xml:space="preserve">ορθά κρίθηκε </w:t>
      </w:r>
      <w:r w:rsidRPr="003000D5">
        <w:rPr>
          <w:rFonts w:ascii="Bookman Old Style" w:hAnsi="Bookman Old Style" w:cs="Arial"/>
          <w:sz w:val="28"/>
          <w:szCs w:val="28"/>
          <w:lang w:val="el-GR"/>
        </w:rPr>
        <w:t>ότι οι πράξεις αντικείμενο της πρωτόδικης διαδικασίας</w:t>
      </w:r>
      <w:r>
        <w:rPr>
          <w:rFonts w:ascii="Bookman Old Style" w:hAnsi="Bookman Old Style" w:cs="Arial"/>
          <w:sz w:val="28"/>
          <w:szCs w:val="28"/>
          <w:lang w:val="el-GR"/>
        </w:rPr>
        <w:t xml:space="preserve"> </w:t>
      </w:r>
      <w:r w:rsidRPr="003000D5">
        <w:rPr>
          <w:rFonts w:ascii="Bookman Old Style" w:hAnsi="Bookman Old Style" w:cs="Arial"/>
          <w:sz w:val="28"/>
          <w:szCs w:val="28"/>
          <w:lang w:val="el-GR"/>
        </w:rPr>
        <w:t>αποτελού</w:t>
      </w:r>
      <w:r>
        <w:rPr>
          <w:rFonts w:ascii="Bookman Old Style" w:hAnsi="Bookman Old Style" w:cs="Arial"/>
          <w:sz w:val="28"/>
          <w:szCs w:val="28"/>
          <w:lang w:val="el-GR"/>
        </w:rPr>
        <w:t>σαν</w:t>
      </w:r>
      <w:r w:rsidRPr="00335116">
        <w:rPr>
          <w:rFonts w:ascii="Bookman Old Style" w:hAnsi="Bookman Old Style" w:cs="Arial"/>
          <w:sz w:val="28"/>
          <w:szCs w:val="28"/>
          <w:lang w:val="el-GR"/>
        </w:rPr>
        <w:t xml:space="preserve"> </w:t>
      </w:r>
      <w:r w:rsidRPr="003000D5">
        <w:rPr>
          <w:rFonts w:ascii="Bookman Old Style" w:hAnsi="Bookman Old Style" w:cs="Arial"/>
          <w:sz w:val="28"/>
          <w:szCs w:val="28"/>
          <w:lang w:val="el-GR"/>
        </w:rPr>
        <w:t>εκτελεστές διοικητικές πράξεις στο πεδίο του δημόσιου δικαίου</w:t>
      </w:r>
      <w:r>
        <w:rPr>
          <w:rFonts w:ascii="Bookman Old Style" w:hAnsi="Bookman Old Style" w:cs="Arial"/>
          <w:sz w:val="28"/>
          <w:szCs w:val="28"/>
          <w:lang w:val="el-GR"/>
        </w:rPr>
        <w:t xml:space="preserve"> και, συνεπακόλουθα, ότι η</w:t>
      </w:r>
      <w:r w:rsidRPr="003000D5">
        <w:rPr>
          <w:rFonts w:ascii="Bookman Old Style" w:hAnsi="Bookman Old Style" w:cs="Arial"/>
          <w:sz w:val="28"/>
          <w:szCs w:val="28"/>
          <w:lang w:val="el-GR"/>
        </w:rPr>
        <w:t xml:space="preserve"> </w:t>
      </w:r>
      <w:r w:rsidRPr="003000D5">
        <w:rPr>
          <w:rFonts w:ascii="Bookman Old Style" w:hAnsi="Bookman Old Style" w:cs="Arial"/>
          <w:sz w:val="28"/>
          <w:szCs w:val="28"/>
          <w:lang w:val="el-GR"/>
        </w:rPr>
        <w:lastRenderedPageBreak/>
        <w:t>δικαιοδοσία για την αναθεώρηση τους ανήκε στο Ανώτατο Δικαστήριο, δυνάμει του</w:t>
      </w:r>
      <w:r w:rsidRPr="00335116">
        <w:rPr>
          <w:rFonts w:ascii="Bookman Old Style" w:hAnsi="Bookman Old Style" w:cs="Arial"/>
          <w:sz w:val="28"/>
          <w:szCs w:val="28"/>
          <w:lang w:val="el-GR"/>
        </w:rPr>
        <w:t xml:space="preserve"> </w:t>
      </w:r>
      <w:r w:rsidRPr="00335116">
        <w:rPr>
          <w:rFonts w:ascii="Bookman Old Style" w:hAnsi="Bookman Old Style" w:cs="Arial"/>
          <w:b/>
          <w:bCs/>
          <w:i/>
          <w:iCs/>
          <w:sz w:val="28"/>
          <w:szCs w:val="28"/>
          <w:lang w:val="el-GR"/>
        </w:rPr>
        <w:t>Άρθρου</w:t>
      </w:r>
      <w:r w:rsidRPr="003000D5">
        <w:rPr>
          <w:rFonts w:ascii="Bookman Old Style" w:hAnsi="Bookman Old Style" w:cs="Arial"/>
          <w:b/>
          <w:bCs/>
          <w:i/>
          <w:iCs/>
          <w:sz w:val="28"/>
          <w:szCs w:val="28"/>
          <w:lang w:val="el-GR"/>
        </w:rPr>
        <w:t xml:space="preserve"> 146.1</w:t>
      </w:r>
      <w:r w:rsidRPr="003000D5">
        <w:rPr>
          <w:rFonts w:ascii="Bookman Old Style" w:hAnsi="Bookman Old Style" w:cs="Arial"/>
          <w:sz w:val="28"/>
          <w:szCs w:val="28"/>
          <w:lang w:val="el-GR"/>
        </w:rPr>
        <w:t xml:space="preserve"> του </w:t>
      </w:r>
      <w:r w:rsidRPr="003000D5">
        <w:rPr>
          <w:rFonts w:ascii="Bookman Old Style" w:hAnsi="Bookman Old Style" w:cs="Arial"/>
          <w:b/>
          <w:bCs/>
          <w:i/>
          <w:iCs/>
          <w:sz w:val="28"/>
          <w:szCs w:val="28"/>
          <w:lang w:val="el-GR"/>
        </w:rPr>
        <w:t>Συντάγματος</w:t>
      </w:r>
      <w:r w:rsidRPr="003000D5">
        <w:rPr>
          <w:rFonts w:ascii="Bookman Old Style" w:hAnsi="Bookman Old Style" w:cs="Arial"/>
          <w:sz w:val="28"/>
          <w:szCs w:val="28"/>
          <w:lang w:val="el-GR"/>
        </w:rPr>
        <w:t>.</w:t>
      </w:r>
    </w:p>
    <w:p w14:paraId="112D7E60" w14:textId="77777777" w:rsidR="003F3E5F" w:rsidRPr="003000D5" w:rsidRDefault="003F3E5F" w:rsidP="0096773D">
      <w:pPr>
        <w:overflowPunct w:val="0"/>
        <w:spacing w:line="480" w:lineRule="auto"/>
        <w:ind w:right="62"/>
        <w:jc w:val="both"/>
        <w:rPr>
          <w:rFonts w:ascii="Bookman Old Style" w:hAnsi="Bookman Old Style" w:cs="Arial"/>
          <w:sz w:val="28"/>
          <w:szCs w:val="28"/>
          <w:lang w:val="el-GR"/>
        </w:rPr>
      </w:pPr>
    </w:p>
    <w:p w14:paraId="0F1530E7" w14:textId="77777777" w:rsidR="0096773D" w:rsidRDefault="0096773D" w:rsidP="0096773D">
      <w:pPr>
        <w:overflowPunct w:val="0"/>
        <w:spacing w:line="480" w:lineRule="auto"/>
        <w:ind w:right="62"/>
        <w:jc w:val="both"/>
        <w:rPr>
          <w:rFonts w:ascii="Bookman Old Style" w:hAnsi="Bookman Old Style" w:cs="Arial"/>
          <w:sz w:val="28"/>
          <w:szCs w:val="28"/>
          <w:lang w:val="el-GR"/>
        </w:rPr>
      </w:pPr>
      <w:r w:rsidRPr="00335116">
        <w:rPr>
          <w:rFonts w:ascii="Bookman Old Style" w:hAnsi="Bookman Old Style" w:cs="Arial"/>
          <w:sz w:val="28"/>
          <w:szCs w:val="28"/>
          <w:lang w:val="el-GR"/>
        </w:rPr>
        <w:t xml:space="preserve">Συνεπώς οι </w:t>
      </w:r>
      <w:r w:rsidRPr="00335116">
        <w:rPr>
          <w:rFonts w:ascii="Bookman Old Style" w:hAnsi="Bookman Old Style" w:cs="Arial"/>
          <w:b/>
          <w:bCs/>
          <w:sz w:val="28"/>
          <w:szCs w:val="28"/>
          <w:lang w:val="el-GR"/>
        </w:rPr>
        <w:t>Λόγοι Έφεσης 1</w:t>
      </w:r>
      <w:r w:rsidRPr="00335116">
        <w:rPr>
          <w:rFonts w:ascii="Bookman Old Style" w:hAnsi="Bookman Old Style" w:cs="Arial"/>
          <w:sz w:val="28"/>
          <w:szCs w:val="28"/>
          <w:lang w:val="el-GR"/>
        </w:rPr>
        <w:t xml:space="preserve"> και </w:t>
      </w:r>
      <w:r w:rsidRPr="00335116">
        <w:rPr>
          <w:rFonts w:ascii="Bookman Old Style" w:hAnsi="Bookman Old Style" w:cs="Arial"/>
          <w:b/>
          <w:bCs/>
          <w:sz w:val="28"/>
          <w:szCs w:val="28"/>
          <w:lang w:val="el-GR"/>
        </w:rPr>
        <w:t xml:space="preserve">2 </w:t>
      </w:r>
      <w:r w:rsidRPr="00335116">
        <w:rPr>
          <w:rFonts w:ascii="Bookman Old Style" w:hAnsi="Bookman Old Style" w:cs="Arial"/>
          <w:sz w:val="28"/>
          <w:szCs w:val="28"/>
          <w:lang w:val="el-GR"/>
        </w:rPr>
        <w:t>απορρίπτονται.</w:t>
      </w:r>
    </w:p>
    <w:p w14:paraId="3B01BDB9" w14:textId="77777777" w:rsidR="0096773D" w:rsidRPr="00335116" w:rsidRDefault="0096773D" w:rsidP="0096773D">
      <w:pPr>
        <w:overflowPunct w:val="0"/>
        <w:spacing w:line="480" w:lineRule="auto"/>
        <w:ind w:right="62"/>
        <w:jc w:val="both"/>
        <w:rPr>
          <w:rFonts w:ascii="Bookman Old Style" w:hAnsi="Bookman Old Style" w:cs="Arial"/>
          <w:sz w:val="28"/>
          <w:szCs w:val="28"/>
          <w:lang w:val="el-GR"/>
        </w:rPr>
      </w:pPr>
    </w:p>
    <w:p w14:paraId="4CD837B3" w14:textId="61709603" w:rsidR="0096773D" w:rsidRDefault="0096773D" w:rsidP="0096773D">
      <w:pPr>
        <w:overflowPunct w:val="0"/>
        <w:spacing w:line="480" w:lineRule="auto"/>
        <w:ind w:right="62"/>
        <w:jc w:val="both"/>
        <w:rPr>
          <w:rFonts w:ascii="Bookman Old Style" w:hAnsi="Bookman Old Style" w:cs="Arial"/>
          <w:sz w:val="28"/>
          <w:szCs w:val="28"/>
          <w:lang w:val="el-GR"/>
        </w:rPr>
      </w:pPr>
      <w:r w:rsidRPr="00335116">
        <w:rPr>
          <w:rFonts w:ascii="Bookman Old Style" w:hAnsi="Bookman Old Style" w:cs="Arial"/>
          <w:sz w:val="28"/>
          <w:szCs w:val="28"/>
          <w:lang w:val="el-GR"/>
        </w:rPr>
        <w:t xml:space="preserve">Η πιο πάνω κατάληξη μας καλύπτει και τα όσα εγείρονται μέσω του </w:t>
      </w:r>
      <w:r w:rsidRPr="00335116">
        <w:rPr>
          <w:rFonts w:ascii="Bookman Old Style" w:hAnsi="Bookman Old Style" w:cs="Arial"/>
          <w:b/>
          <w:bCs/>
          <w:sz w:val="28"/>
          <w:szCs w:val="28"/>
          <w:lang w:val="el-GR"/>
        </w:rPr>
        <w:t>3</w:t>
      </w:r>
      <w:r w:rsidRPr="00335116">
        <w:rPr>
          <w:rFonts w:ascii="Bookman Old Style" w:hAnsi="Bookman Old Style" w:cs="Arial"/>
          <w:b/>
          <w:bCs/>
          <w:sz w:val="28"/>
          <w:szCs w:val="28"/>
          <w:vertAlign w:val="superscript"/>
          <w:lang w:val="el-GR"/>
        </w:rPr>
        <w:t>ου</w:t>
      </w:r>
      <w:r w:rsidRPr="00335116">
        <w:rPr>
          <w:rFonts w:ascii="Bookman Old Style" w:hAnsi="Bookman Old Style" w:cs="Arial"/>
          <w:b/>
          <w:bCs/>
          <w:sz w:val="28"/>
          <w:szCs w:val="28"/>
          <w:lang w:val="el-GR"/>
        </w:rPr>
        <w:t xml:space="preserve"> Λόγου Έφεσης</w:t>
      </w:r>
      <w:r w:rsidRPr="00335116">
        <w:rPr>
          <w:rFonts w:ascii="Bookman Old Style" w:hAnsi="Bookman Old Style" w:cs="Arial"/>
          <w:sz w:val="28"/>
          <w:szCs w:val="28"/>
          <w:lang w:val="el-GR"/>
        </w:rPr>
        <w:t xml:space="preserve">. Δεδομένης της απόφασης του πρωτόδικου Δικαστηρίου ότι η  επιβολή των επίδικων τελών συνιστούσε εκτελεστή διοικητική πράξη, ορθά </w:t>
      </w:r>
      <w:proofErr w:type="spellStart"/>
      <w:r w:rsidRPr="00335116">
        <w:rPr>
          <w:rFonts w:ascii="Bookman Old Style" w:hAnsi="Bookman Old Style" w:cs="Arial"/>
          <w:sz w:val="28"/>
          <w:szCs w:val="28"/>
          <w:lang w:val="el-GR"/>
        </w:rPr>
        <w:t>απεφάνθη</w:t>
      </w:r>
      <w:proofErr w:type="spellEnd"/>
      <w:r w:rsidRPr="00335116">
        <w:rPr>
          <w:rFonts w:ascii="Bookman Old Style" w:hAnsi="Bookman Old Style" w:cs="Arial"/>
          <w:sz w:val="28"/>
          <w:szCs w:val="28"/>
          <w:lang w:val="el-GR"/>
        </w:rPr>
        <w:t xml:space="preserve"> στη συνέχεια ότι η </w:t>
      </w:r>
      <w:proofErr w:type="spellStart"/>
      <w:r w:rsidRPr="00335116">
        <w:rPr>
          <w:rFonts w:ascii="Bookman Old Style" w:hAnsi="Bookman Old Style" w:cs="Arial"/>
          <w:sz w:val="28"/>
          <w:szCs w:val="28"/>
          <w:lang w:val="el-GR"/>
        </w:rPr>
        <w:t>Εφεσείουσα</w:t>
      </w:r>
      <w:proofErr w:type="spellEnd"/>
      <w:r w:rsidRPr="00335116">
        <w:rPr>
          <w:rFonts w:ascii="Bookman Old Style" w:hAnsi="Bookman Old Style" w:cs="Arial"/>
          <w:sz w:val="28"/>
          <w:szCs w:val="28"/>
          <w:lang w:val="el-GR"/>
        </w:rPr>
        <w:t xml:space="preserve"> δεν είχε αποδείξει συζητήσιμη υπεράσπιση. Και τούτο στη βάση του ότι, όπως ορθώς το πρωτόδικο Δικαστήριο επεσήμανε, τα όσα αναφέρονταν στην ένορκη δήλωση του </w:t>
      </w:r>
      <w:proofErr w:type="spellStart"/>
      <w:r w:rsidRPr="00335116">
        <w:rPr>
          <w:rFonts w:ascii="Bookman Old Style" w:hAnsi="Bookman Old Style" w:cs="Arial"/>
          <w:sz w:val="28"/>
          <w:szCs w:val="28"/>
          <w:lang w:val="el-GR"/>
        </w:rPr>
        <w:t>ομνύοντα</w:t>
      </w:r>
      <w:proofErr w:type="spellEnd"/>
      <w:r w:rsidRPr="00335116">
        <w:rPr>
          <w:rFonts w:ascii="Bookman Old Style" w:hAnsi="Bookman Old Style" w:cs="Arial"/>
          <w:sz w:val="28"/>
          <w:szCs w:val="28"/>
          <w:lang w:val="el-GR"/>
        </w:rPr>
        <w:t xml:space="preserve"> εκ μέρους της </w:t>
      </w:r>
      <w:proofErr w:type="spellStart"/>
      <w:r w:rsidRPr="00335116">
        <w:rPr>
          <w:rFonts w:ascii="Bookman Old Style" w:hAnsi="Bookman Old Style" w:cs="Arial"/>
          <w:sz w:val="28"/>
          <w:szCs w:val="28"/>
          <w:lang w:val="el-GR"/>
        </w:rPr>
        <w:t>Εφεσείουσας</w:t>
      </w:r>
      <w:proofErr w:type="spellEnd"/>
      <w:r w:rsidRPr="00335116">
        <w:rPr>
          <w:rFonts w:ascii="Bookman Old Style" w:hAnsi="Bookman Old Style" w:cs="Arial"/>
          <w:sz w:val="28"/>
          <w:szCs w:val="28"/>
          <w:lang w:val="el-GR"/>
        </w:rPr>
        <w:t xml:space="preserve"> άπτονταν της νομιμότητας των πράξεων επιβολής των επίδικων τελών και χρεώσεων και, ως εκ τούτου, δεν μπορούσαν να τύχουν εξέτασης  στο πλαίσιο της Αγωγής</w:t>
      </w:r>
      <w:r w:rsidR="00777355">
        <w:rPr>
          <w:rFonts w:ascii="Bookman Old Style" w:hAnsi="Bookman Old Style" w:cs="Arial"/>
          <w:sz w:val="28"/>
          <w:szCs w:val="28"/>
          <w:lang w:val="el-GR"/>
        </w:rPr>
        <w:t xml:space="preserve"> στο Επαρχιακό Δικαστήριο</w:t>
      </w:r>
      <w:r w:rsidRPr="00335116">
        <w:rPr>
          <w:rFonts w:ascii="Bookman Old Style" w:hAnsi="Bookman Old Style" w:cs="Arial"/>
          <w:sz w:val="28"/>
          <w:szCs w:val="28"/>
          <w:lang w:val="el-GR"/>
        </w:rPr>
        <w:t xml:space="preserve">. </w:t>
      </w:r>
    </w:p>
    <w:p w14:paraId="3AB82581" w14:textId="77777777" w:rsidR="0096773D" w:rsidRDefault="0096773D" w:rsidP="0096773D">
      <w:pPr>
        <w:overflowPunct w:val="0"/>
        <w:spacing w:line="480" w:lineRule="auto"/>
        <w:ind w:right="62"/>
        <w:jc w:val="both"/>
        <w:rPr>
          <w:rFonts w:ascii="Bookman Old Style" w:hAnsi="Bookman Old Style" w:cs="Arial"/>
          <w:sz w:val="28"/>
          <w:szCs w:val="28"/>
          <w:lang w:val="el-GR"/>
        </w:rPr>
      </w:pPr>
      <w:bookmarkStart w:id="3" w:name="_Hlk149400216"/>
    </w:p>
    <w:p w14:paraId="1DDDB189" w14:textId="6CC41DCD" w:rsidR="0096773D" w:rsidRDefault="0096773D" w:rsidP="0096773D">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 xml:space="preserve">Ο </w:t>
      </w:r>
      <w:r w:rsidRPr="00335116">
        <w:rPr>
          <w:rFonts w:ascii="Bookman Old Style" w:hAnsi="Bookman Old Style" w:cs="Arial"/>
          <w:b/>
          <w:bCs/>
          <w:sz w:val="28"/>
          <w:szCs w:val="28"/>
          <w:lang w:val="el-GR"/>
        </w:rPr>
        <w:t>Λόγος Έφεσης 3</w:t>
      </w:r>
      <w:r>
        <w:rPr>
          <w:rFonts w:ascii="Bookman Old Style" w:hAnsi="Bookman Old Style" w:cs="Arial"/>
          <w:sz w:val="28"/>
          <w:szCs w:val="28"/>
          <w:lang w:val="el-GR"/>
        </w:rPr>
        <w:t xml:space="preserve"> απορρίπτεται.</w:t>
      </w:r>
    </w:p>
    <w:bookmarkEnd w:id="3"/>
    <w:p w14:paraId="5CF090A3" w14:textId="77777777" w:rsidR="0096773D" w:rsidRDefault="0096773D" w:rsidP="0096773D">
      <w:pPr>
        <w:overflowPunct w:val="0"/>
        <w:spacing w:line="480" w:lineRule="auto"/>
        <w:ind w:right="62"/>
        <w:jc w:val="both"/>
        <w:rPr>
          <w:rFonts w:ascii="Bookman Old Style" w:hAnsi="Bookman Old Style" w:cs="Arial"/>
          <w:sz w:val="28"/>
          <w:szCs w:val="28"/>
          <w:lang w:val="el-GR"/>
        </w:rPr>
      </w:pPr>
    </w:p>
    <w:p w14:paraId="13E99C14" w14:textId="74B6D9C8" w:rsidR="0096773D" w:rsidRDefault="0096773D" w:rsidP="0096773D">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 xml:space="preserve">Όλα όσα έχουν αναφερθεί ανωτέρω καθορίζουν και την έκβαση του </w:t>
      </w:r>
      <w:r w:rsidRPr="00DC36FE">
        <w:rPr>
          <w:rFonts w:ascii="Bookman Old Style" w:hAnsi="Bookman Old Style" w:cs="Arial"/>
          <w:b/>
          <w:bCs/>
          <w:sz w:val="28"/>
          <w:szCs w:val="28"/>
          <w:lang w:val="el-GR"/>
        </w:rPr>
        <w:t>4</w:t>
      </w:r>
      <w:r w:rsidRPr="00DC36FE">
        <w:rPr>
          <w:rFonts w:ascii="Bookman Old Style" w:hAnsi="Bookman Old Style" w:cs="Arial"/>
          <w:b/>
          <w:bCs/>
          <w:sz w:val="28"/>
          <w:szCs w:val="28"/>
          <w:vertAlign w:val="superscript"/>
          <w:lang w:val="el-GR"/>
        </w:rPr>
        <w:t>ου</w:t>
      </w:r>
      <w:r w:rsidRPr="00DC36FE">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Η θέση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ότι οι Εφεσίβλητοι δεν εξέδωσαν και/ή επέδωσαν σε αυτή οποιαδήποτε απόφαση του </w:t>
      </w:r>
      <w:r>
        <w:rPr>
          <w:rFonts w:ascii="Bookman Old Style" w:hAnsi="Bookman Old Style" w:cs="Arial"/>
          <w:sz w:val="28"/>
          <w:szCs w:val="28"/>
          <w:lang w:val="el-GR"/>
        </w:rPr>
        <w:lastRenderedPageBreak/>
        <w:t xml:space="preserve">Συμβουλίου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σε σχέση με την επιβολή των εν λόγω τελών δυνάμει των επίδικων τιμολογίων για να δύναται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να την αμφισβητήσει με προσφυγή, δεν έχει οποιοδήποτε έρεισμα.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κατά την ακρόαση της επίδικης Αίτησης, δια σχετικής δηλώσεως της δικηγόρου που την εκπροσωπούσε,</w:t>
      </w:r>
      <w:r w:rsidRPr="00AC1E6C">
        <w:rPr>
          <w:rFonts w:ascii="Bookman Old Style" w:hAnsi="Bookman Old Style" w:cs="Arial"/>
          <w:sz w:val="28"/>
          <w:szCs w:val="28"/>
          <w:lang w:val="el-GR"/>
        </w:rPr>
        <w:t xml:space="preserve"> </w:t>
      </w:r>
      <w:r>
        <w:rPr>
          <w:rFonts w:ascii="Bookman Old Style" w:hAnsi="Bookman Old Style" w:cs="Arial"/>
          <w:sz w:val="28"/>
          <w:szCs w:val="28"/>
          <w:lang w:val="el-GR"/>
        </w:rPr>
        <w:t>δεν αμφισβήτησε</w:t>
      </w:r>
      <w:r w:rsidR="0065678F">
        <w:rPr>
          <w:rFonts w:ascii="Bookman Old Style" w:hAnsi="Bookman Old Style" w:cs="Arial"/>
          <w:sz w:val="28"/>
          <w:szCs w:val="28"/>
          <w:lang w:val="el-GR"/>
        </w:rPr>
        <w:t xml:space="preserve"> στην πρωτόδικη διαδικασία</w:t>
      </w:r>
      <w:r>
        <w:rPr>
          <w:rFonts w:ascii="Bookman Old Style" w:hAnsi="Bookman Old Style" w:cs="Arial"/>
          <w:sz w:val="28"/>
          <w:szCs w:val="28"/>
          <w:lang w:val="el-GR"/>
        </w:rPr>
        <w:t xml:space="preserve"> το γεγονός  της λήψης των επίδικων τιμολογίων. </w:t>
      </w:r>
    </w:p>
    <w:p w14:paraId="04155D19" w14:textId="77777777" w:rsidR="0096773D" w:rsidRDefault="0096773D" w:rsidP="0096773D">
      <w:pPr>
        <w:overflowPunct w:val="0"/>
        <w:spacing w:line="480" w:lineRule="auto"/>
        <w:ind w:right="62"/>
        <w:jc w:val="both"/>
        <w:rPr>
          <w:rFonts w:ascii="Bookman Old Style" w:hAnsi="Bookman Old Style" w:cs="Arial"/>
          <w:sz w:val="28"/>
          <w:szCs w:val="28"/>
          <w:lang w:val="el-GR"/>
        </w:rPr>
      </w:pPr>
    </w:p>
    <w:p w14:paraId="42A1338A" w14:textId="6142DAFB" w:rsidR="0096773D" w:rsidRDefault="0096773D" w:rsidP="0096773D">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 xml:space="preserve">Ο </w:t>
      </w:r>
      <w:r w:rsidRPr="00335116">
        <w:rPr>
          <w:rFonts w:ascii="Bookman Old Style" w:hAnsi="Bookman Old Style" w:cs="Arial"/>
          <w:b/>
          <w:bCs/>
          <w:sz w:val="28"/>
          <w:szCs w:val="28"/>
          <w:lang w:val="el-GR"/>
        </w:rPr>
        <w:t xml:space="preserve">Λόγος Έφεσης </w:t>
      </w:r>
      <w:r w:rsidR="0065678F">
        <w:rPr>
          <w:rFonts w:ascii="Bookman Old Style" w:hAnsi="Bookman Old Style" w:cs="Arial"/>
          <w:b/>
          <w:bCs/>
          <w:sz w:val="28"/>
          <w:szCs w:val="28"/>
          <w:lang w:val="el-GR"/>
        </w:rPr>
        <w:t>4</w:t>
      </w:r>
      <w:r>
        <w:rPr>
          <w:rFonts w:ascii="Bookman Old Style" w:hAnsi="Bookman Old Style" w:cs="Arial"/>
          <w:sz w:val="28"/>
          <w:szCs w:val="28"/>
          <w:lang w:val="el-GR"/>
        </w:rPr>
        <w:t xml:space="preserve"> απορρίπτεται.</w:t>
      </w:r>
    </w:p>
    <w:p w14:paraId="3D431C76" w14:textId="77777777" w:rsidR="0096773D" w:rsidRDefault="0096773D" w:rsidP="0096773D">
      <w:pPr>
        <w:overflowPunct w:val="0"/>
        <w:spacing w:line="480" w:lineRule="auto"/>
        <w:ind w:right="62"/>
        <w:jc w:val="both"/>
        <w:rPr>
          <w:rFonts w:ascii="Bookman Old Style" w:hAnsi="Bookman Old Style" w:cs="Arial"/>
          <w:sz w:val="28"/>
          <w:szCs w:val="28"/>
          <w:lang w:val="el-GR"/>
        </w:rPr>
      </w:pPr>
    </w:p>
    <w:p w14:paraId="212E1AB2" w14:textId="6DA57B63" w:rsidR="0096773D" w:rsidRDefault="00777355" w:rsidP="0096773D">
      <w:pPr>
        <w:spacing w:line="480" w:lineRule="auto"/>
        <w:jc w:val="both"/>
        <w:rPr>
          <w:rFonts w:ascii="Bookman Old Style" w:hAnsi="Bookman Old Style" w:cs="Arial"/>
          <w:color w:val="000000"/>
          <w:sz w:val="28"/>
          <w:szCs w:val="28"/>
          <w:lang w:val="el-GR"/>
        </w:rPr>
      </w:pPr>
      <w:r w:rsidRPr="00777355">
        <w:rPr>
          <w:rFonts w:ascii="Bookman Old Style" w:hAnsi="Bookman Old Style" w:cs="Arial"/>
          <w:b/>
          <w:bCs/>
          <w:color w:val="000000"/>
          <w:sz w:val="28"/>
          <w:szCs w:val="28"/>
          <w:lang w:val="el-GR"/>
        </w:rPr>
        <w:t>Η</w:t>
      </w:r>
      <w:r w:rsidR="0096773D" w:rsidRPr="00F92CE3">
        <w:rPr>
          <w:rFonts w:ascii="Bookman Old Style" w:hAnsi="Bookman Old Style" w:cs="Arial"/>
          <w:b/>
          <w:bCs/>
          <w:color w:val="000000"/>
          <w:sz w:val="28"/>
          <w:szCs w:val="28"/>
          <w:lang w:val="el-GR"/>
        </w:rPr>
        <w:t xml:space="preserve"> Έφεση απορρίπτεται</w:t>
      </w:r>
      <w:r w:rsidR="0096773D" w:rsidRPr="00F92CE3">
        <w:rPr>
          <w:rFonts w:ascii="Bookman Old Style" w:hAnsi="Bookman Old Style" w:cs="Arial"/>
          <w:color w:val="000000"/>
          <w:sz w:val="28"/>
          <w:szCs w:val="28"/>
          <w:lang w:val="el-GR"/>
        </w:rPr>
        <w:t>.</w:t>
      </w:r>
    </w:p>
    <w:p w14:paraId="527290AD" w14:textId="77777777" w:rsidR="0024647F" w:rsidRDefault="0024647F" w:rsidP="0096773D">
      <w:pPr>
        <w:spacing w:line="480" w:lineRule="auto"/>
        <w:jc w:val="both"/>
        <w:rPr>
          <w:rFonts w:ascii="Bookman Old Style" w:hAnsi="Bookman Old Style" w:cs="Arial"/>
          <w:color w:val="000000"/>
          <w:sz w:val="28"/>
          <w:szCs w:val="28"/>
          <w:lang w:val="el-GR"/>
        </w:rPr>
      </w:pPr>
    </w:p>
    <w:p w14:paraId="52A7A0D9" w14:textId="452EE68E" w:rsidR="0096773D" w:rsidRPr="00805B8C" w:rsidRDefault="0096773D" w:rsidP="0096773D">
      <w:pPr>
        <w:spacing w:line="480" w:lineRule="auto"/>
        <w:jc w:val="both"/>
        <w:rPr>
          <w:rFonts w:ascii="Bookman Old Style" w:hAnsi="Bookman Old Style" w:cs="Arial"/>
          <w:color w:val="000000"/>
          <w:sz w:val="28"/>
          <w:szCs w:val="28"/>
          <w:lang w:val="el-GR"/>
        </w:rPr>
      </w:pPr>
      <w:r w:rsidRPr="00F92CE3">
        <w:rPr>
          <w:rFonts w:ascii="Bookman Old Style" w:hAnsi="Bookman Old Style" w:cs="Arial"/>
          <w:b/>
          <w:bCs/>
          <w:color w:val="000000"/>
          <w:sz w:val="28"/>
          <w:szCs w:val="28"/>
          <w:lang w:val="el-GR"/>
        </w:rPr>
        <w:t>Επιδικάζονται έξοδα</w:t>
      </w:r>
      <w:r w:rsidR="00777355">
        <w:rPr>
          <w:rFonts w:ascii="Bookman Old Style" w:hAnsi="Bookman Old Style" w:cs="Arial"/>
          <w:b/>
          <w:bCs/>
          <w:color w:val="000000"/>
          <w:sz w:val="28"/>
          <w:szCs w:val="28"/>
          <w:lang w:val="el-GR"/>
        </w:rPr>
        <w:t xml:space="preserve"> της Έφεσης</w:t>
      </w:r>
      <w:r w:rsidRPr="00F92CE3">
        <w:rPr>
          <w:rFonts w:ascii="Bookman Old Style" w:hAnsi="Bookman Old Style" w:cs="Arial"/>
          <w:b/>
          <w:bCs/>
          <w:color w:val="000000"/>
          <w:sz w:val="28"/>
          <w:szCs w:val="28"/>
          <w:lang w:val="el-GR"/>
        </w:rPr>
        <w:t xml:space="preserve"> υπέρ των Εφεσίβλητων και εναντίον της </w:t>
      </w:r>
      <w:proofErr w:type="spellStart"/>
      <w:r w:rsidRPr="00F92CE3">
        <w:rPr>
          <w:rFonts w:ascii="Bookman Old Style" w:hAnsi="Bookman Old Style" w:cs="Arial"/>
          <w:b/>
          <w:bCs/>
          <w:color w:val="000000"/>
          <w:sz w:val="28"/>
          <w:szCs w:val="28"/>
          <w:lang w:val="el-GR"/>
        </w:rPr>
        <w:t>Εφεσείουσας</w:t>
      </w:r>
      <w:proofErr w:type="spellEnd"/>
      <w:r w:rsidRPr="00F92CE3">
        <w:rPr>
          <w:rFonts w:ascii="Bookman Old Style" w:hAnsi="Bookman Old Style" w:cs="Arial"/>
          <w:b/>
          <w:bCs/>
          <w:color w:val="000000"/>
          <w:sz w:val="28"/>
          <w:szCs w:val="28"/>
          <w:lang w:val="el-GR"/>
        </w:rPr>
        <w:t xml:space="preserve"> ύψους €</w:t>
      </w:r>
      <w:r w:rsidR="00777355">
        <w:rPr>
          <w:rFonts w:ascii="Bookman Old Style" w:hAnsi="Bookman Old Style" w:cs="Arial"/>
          <w:b/>
          <w:bCs/>
          <w:color w:val="000000"/>
          <w:sz w:val="28"/>
          <w:szCs w:val="28"/>
          <w:lang w:val="el-GR"/>
        </w:rPr>
        <w:t>3</w:t>
      </w:r>
      <w:r w:rsidRPr="00F92CE3">
        <w:rPr>
          <w:rFonts w:ascii="Bookman Old Style" w:hAnsi="Bookman Old Style" w:cs="Arial"/>
          <w:b/>
          <w:bCs/>
          <w:color w:val="000000"/>
          <w:sz w:val="28"/>
          <w:szCs w:val="28"/>
          <w:lang w:val="el-GR"/>
        </w:rPr>
        <w:t>.</w:t>
      </w:r>
      <w:r w:rsidR="00777355">
        <w:rPr>
          <w:rFonts w:ascii="Bookman Old Style" w:hAnsi="Bookman Old Style" w:cs="Arial"/>
          <w:b/>
          <w:bCs/>
          <w:color w:val="000000"/>
          <w:sz w:val="28"/>
          <w:szCs w:val="28"/>
          <w:lang w:val="el-GR"/>
        </w:rPr>
        <w:t>0</w:t>
      </w:r>
      <w:r w:rsidRPr="00F92CE3">
        <w:rPr>
          <w:rFonts w:ascii="Bookman Old Style" w:hAnsi="Bookman Old Style" w:cs="Arial"/>
          <w:b/>
          <w:bCs/>
          <w:color w:val="000000"/>
          <w:sz w:val="28"/>
          <w:szCs w:val="28"/>
          <w:lang w:val="el-GR"/>
        </w:rPr>
        <w:t>00 (πλέον ΦΠΑ αν υπάρχει)</w:t>
      </w:r>
      <w:r w:rsidRPr="00F92CE3">
        <w:rPr>
          <w:rFonts w:ascii="Bookman Old Style" w:hAnsi="Bookman Old Style" w:cs="Arial"/>
          <w:color w:val="000000"/>
          <w:sz w:val="28"/>
          <w:szCs w:val="28"/>
          <w:lang w:val="el-GR"/>
        </w:rPr>
        <w:t>.</w:t>
      </w:r>
    </w:p>
    <w:p w14:paraId="03D297B3" w14:textId="77777777" w:rsidR="0096773D" w:rsidRDefault="0096773D" w:rsidP="003F3E5F">
      <w:pPr>
        <w:ind w:right="-35"/>
        <w:jc w:val="both"/>
        <w:rPr>
          <w:rFonts w:ascii="Bookman Old Style" w:hAnsi="Bookman Old Style" w:cs="Arial"/>
          <w:bCs/>
          <w:sz w:val="28"/>
          <w:szCs w:val="28"/>
          <w:lang w:val="el-GR"/>
        </w:rPr>
      </w:pPr>
    </w:p>
    <w:p w14:paraId="41F5A700" w14:textId="77777777" w:rsidR="0096773D" w:rsidRDefault="0096773D" w:rsidP="003F3E5F">
      <w:pPr>
        <w:ind w:right="-35"/>
        <w:jc w:val="both"/>
        <w:rPr>
          <w:rFonts w:ascii="Bookman Old Style" w:hAnsi="Bookman Old Style" w:cs="Arial"/>
          <w:bCs/>
          <w:sz w:val="28"/>
          <w:szCs w:val="28"/>
          <w:lang w:val="el-GR"/>
        </w:rPr>
      </w:pPr>
    </w:p>
    <w:p w14:paraId="6D11E907" w14:textId="77777777" w:rsidR="003F3E5F" w:rsidRDefault="003F3E5F" w:rsidP="003F3E5F">
      <w:pPr>
        <w:ind w:right="-35"/>
        <w:jc w:val="both"/>
        <w:rPr>
          <w:rFonts w:ascii="Bookman Old Style" w:hAnsi="Bookman Old Style" w:cs="Arial"/>
          <w:bCs/>
          <w:sz w:val="28"/>
          <w:szCs w:val="28"/>
          <w:lang w:val="el-GR"/>
        </w:rPr>
      </w:pPr>
    </w:p>
    <w:p w14:paraId="0693DB81" w14:textId="77777777" w:rsidR="003F3E5F" w:rsidRDefault="003F3E5F" w:rsidP="003F3E5F">
      <w:pPr>
        <w:ind w:right="-35"/>
        <w:jc w:val="both"/>
        <w:rPr>
          <w:rFonts w:ascii="Bookman Old Style" w:hAnsi="Bookman Old Style" w:cs="Arial"/>
          <w:bCs/>
          <w:sz w:val="28"/>
          <w:szCs w:val="28"/>
          <w:lang w:val="el-GR"/>
        </w:rPr>
      </w:pPr>
    </w:p>
    <w:p w14:paraId="7BD12566" w14:textId="1955D0D1" w:rsidR="0096773D" w:rsidRDefault="0096773D" w:rsidP="003F3E5F">
      <w:pPr>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Pr>
          <w:rFonts w:ascii="Bookman Old Style" w:hAnsi="Bookman Old Style" w:cs="Arial"/>
          <w:b/>
          <w:sz w:val="28"/>
          <w:szCs w:val="28"/>
          <w:lang w:val="el-GR"/>
        </w:rPr>
        <w:t xml:space="preserve">                Χ. ΜΑΛΑΧΤΟΣ</w:t>
      </w:r>
      <w:r w:rsidRPr="008518F5">
        <w:rPr>
          <w:rFonts w:ascii="Bookman Old Style" w:hAnsi="Bookman Old Style" w:cs="Arial"/>
          <w:b/>
          <w:sz w:val="28"/>
          <w:szCs w:val="28"/>
          <w:lang w:val="el-GR"/>
        </w:rPr>
        <w:t>, Δ.</w:t>
      </w:r>
    </w:p>
    <w:p w14:paraId="51E4089F" w14:textId="77777777" w:rsidR="0096773D" w:rsidRDefault="0096773D" w:rsidP="003F3E5F">
      <w:pPr>
        <w:ind w:right="-35"/>
        <w:jc w:val="both"/>
        <w:rPr>
          <w:rFonts w:ascii="Bookman Old Style" w:hAnsi="Bookman Old Style" w:cs="Arial"/>
          <w:b/>
          <w:sz w:val="28"/>
          <w:szCs w:val="28"/>
          <w:lang w:val="el-GR"/>
        </w:rPr>
      </w:pPr>
    </w:p>
    <w:p w14:paraId="2451BE2C" w14:textId="77777777" w:rsidR="0096773D" w:rsidRDefault="0096773D" w:rsidP="003F3E5F">
      <w:pPr>
        <w:ind w:right="-35"/>
        <w:jc w:val="both"/>
        <w:rPr>
          <w:rFonts w:ascii="Bookman Old Style" w:hAnsi="Bookman Old Style" w:cs="Arial"/>
          <w:b/>
          <w:sz w:val="28"/>
          <w:szCs w:val="28"/>
          <w:lang w:val="el-GR"/>
        </w:rPr>
      </w:pPr>
    </w:p>
    <w:p w14:paraId="2194B8B0" w14:textId="0C388E49" w:rsidR="0096773D" w:rsidRDefault="0096773D" w:rsidP="003F3E5F">
      <w:pPr>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 ΔΗΜΗΤΡΙΑΔΟΥ-ΑΝΔΡΕΟΥ, Δ.</w:t>
      </w:r>
    </w:p>
    <w:p w14:paraId="093379C6" w14:textId="77777777" w:rsidR="0096773D" w:rsidRDefault="0096773D" w:rsidP="003F3E5F">
      <w:pPr>
        <w:ind w:right="-35"/>
        <w:jc w:val="both"/>
        <w:rPr>
          <w:rFonts w:ascii="Bookman Old Style" w:hAnsi="Bookman Old Style" w:cs="Arial"/>
          <w:b/>
          <w:sz w:val="28"/>
          <w:szCs w:val="28"/>
          <w:lang w:val="el-GR"/>
        </w:rPr>
      </w:pPr>
    </w:p>
    <w:p w14:paraId="6E6085E8" w14:textId="77777777" w:rsidR="0096773D" w:rsidRDefault="0096773D" w:rsidP="003F3E5F">
      <w:pPr>
        <w:ind w:right="-35"/>
        <w:jc w:val="both"/>
        <w:rPr>
          <w:rFonts w:ascii="Bookman Old Style" w:hAnsi="Bookman Old Style" w:cs="Arial"/>
          <w:b/>
          <w:sz w:val="28"/>
          <w:szCs w:val="28"/>
          <w:lang w:val="el-GR"/>
        </w:rPr>
      </w:pPr>
    </w:p>
    <w:p w14:paraId="617DEA83" w14:textId="70B74E60" w:rsidR="0096773D" w:rsidRPr="008518F5" w:rsidRDefault="0096773D" w:rsidP="003F3E5F">
      <w:pPr>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 xml:space="preserve">                 Ι. ΙΩΑΝΝΙΔΗΣ, Δ.</w:t>
      </w:r>
    </w:p>
    <w:p w14:paraId="2C2D7D68" w14:textId="77777777" w:rsidR="008531C5" w:rsidRDefault="008531C5"/>
    <w:sectPr w:rsidR="008531C5" w:rsidSect="0096773D">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286A" w14:textId="77777777" w:rsidR="00C326A1" w:rsidRDefault="00C326A1" w:rsidP="0096773D">
      <w:r>
        <w:separator/>
      </w:r>
    </w:p>
  </w:endnote>
  <w:endnote w:type="continuationSeparator" w:id="0">
    <w:p w14:paraId="02E2E56F" w14:textId="77777777" w:rsidR="00C326A1" w:rsidRDefault="00C326A1" w:rsidP="0096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01C9" w14:textId="77777777" w:rsidR="00C326A1" w:rsidRDefault="00C326A1" w:rsidP="0096773D">
      <w:r>
        <w:separator/>
      </w:r>
    </w:p>
  </w:footnote>
  <w:footnote w:type="continuationSeparator" w:id="0">
    <w:p w14:paraId="4AB193B8" w14:textId="77777777" w:rsidR="00C326A1" w:rsidRDefault="00C326A1" w:rsidP="0096773D">
      <w:r>
        <w:continuationSeparator/>
      </w:r>
    </w:p>
  </w:footnote>
  <w:footnote w:id="1">
    <w:p w14:paraId="369A94BC" w14:textId="77777777" w:rsidR="0096773D" w:rsidRPr="00106318" w:rsidRDefault="0096773D" w:rsidP="0096773D">
      <w:pPr>
        <w:pStyle w:val="FootnoteText"/>
        <w:spacing w:line="276" w:lineRule="auto"/>
        <w:rPr>
          <w:rFonts w:ascii="Bookman Old Style" w:hAnsi="Bookman Old Style"/>
          <w:sz w:val="22"/>
          <w:szCs w:val="22"/>
          <w:lang w:val="el-GR"/>
        </w:rPr>
      </w:pPr>
      <w:r w:rsidRPr="00106318">
        <w:rPr>
          <w:rStyle w:val="FootnoteReference"/>
          <w:rFonts w:ascii="Bookman Old Style" w:hAnsi="Bookman Old Style"/>
          <w:sz w:val="22"/>
          <w:szCs w:val="22"/>
        </w:rPr>
        <w:footnoteRef/>
      </w:r>
      <w:r w:rsidRPr="00106318">
        <w:rPr>
          <w:rFonts w:ascii="Bookman Old Style" w:hAnsi="Bookman Old Style"/>
          <w:sz w:val="22"/>
          <w:szCs w:val="22"/>
          <w:lang w:val="el-GR"/>
        </w:rPr>
        <w:t xml:space="preserve"> Δέστε  το </w:t>
      </w:r>
      <w:r w:rsidRPr="00106318">
        <w:rPr>
          <w:rFonts w:ascii="Bookman Old Style" w:hAnsi="Bookman Old Style"/>
          <w:b/>
          <w:bCs/>
          <w:i/>
          <w:iCs/>
          <w:sz w:val="22"/>
          <w:szCs w:val="22"/>
          <w:lang w:val="el-GR"/>
        </w:rPr>
        <w:t xml:space="preserve">Άρθρο 3 </w:t>
      </w:r>
      <w:r w:rsidRPr="00777355">
        <w:rPr>
          <w:rFonts w:ascii="Bookman Old Style" w:hAnsi="Bookman Old Style"/>
          <w:sz w:val="22"/>
          <w:szCs w:val="22"/>
          <w:lang w:val="el-GR"/>
        </w:rPr>
        <w:t>του</w:t>
      </w:r>
      <w:r w:rsidRPr="00106318">
        <w:rPr>
          <w:rFonts w:ascii="Bookman Old Style" w:hAnsi="Bookman Old Style"/>
          <w:b/>
          <w:bCs/>
          <w:i/>
          <w:iCs/>
          <w:sz w:val="22"/>
          <w:szCs w:val="22"/>
          <w:lang w:val="el-GR"/>
        </w:rPr>
        <w:t xml:space="preserve"> Ν. 14(Ι)/1993</w:t>
      </w:r>
      <w:r w:rsidRPr="00106318">
        <w:rPr>
          <w:rFonts w:ascii="Bookman Old Style" w:hAnsi="Bookman Old Style"/>
          <w:sz w:val="22"/>
          <w:szCs w:val="22"/>
          <w:lang w:val="el-GR"/>
        </w:rPr>
        <w:t>.</w:t>
      </w:r>
    </w:p>
  </w:footnote>
  <w:footnote w:id="2">
    <w:p w14:paraId="6348AE69" w14:textId="6339FC22" w:rsidR="0096773D" w:rsidRPr="00106318" w:rsidRDefault="0096773D" w:rsidP="0096773D">
      <w:pPr>
        <w:pStyle w:val="FootnoteText"/>
        <w:spacing w:line="360" w:lineRule="auto"/>
        <w:rPr>
          <w:rFonts w:ascii="Bookman Old Style" w:hAnsi="Bookman Old Style"/>
          <w:sz w:val="22"/>
          <w:szCs w:val="22"/>
          <w:lang w:val="el-GR"/>
        </w:rPr>
      </w:pPr>
      <w:r w:rsidRPr="00106318">
        <w:rPr>
          <w:rStyle w:val="FootnoteReference"/>
          <w:rFonts w:ascii="Bookman Old Style" w:hAnsi="Bookman Old Style"/>
          <w:sz w:val="22"/>
          <w:szCs w:val="22"/>
        </w:rPr>
        <w:footnoteRef/>
      </w:r>
      <w:r w:rsidRPr="00106318">
        <w:rPr>
          <w:rFonts w:ascii="Bookman Old Style" w:hAnsi="Bookman Old Style"/>
          <w:sz w:val="22"/>
          <w:szCs w:val="22"/>
          <w:lang w:val="el-GR"/>
        </w:rPr>
        <w:t xml:space="preserve"> </w:t>
      </w:r>
      <w:r w:rsidRPr="00106318">
        <w:rPr>
          <w:rFonts w:ascii="Bookman Old Style" w:hAnsi="Bookman Old Style"/>
          <w:sz w:val="22"/>
          <w:szCs w:val="22"/>
          <w:lang w:val="el-GR"/>
        </w:rPr>
        <w:t xml:space="preserve">Δέστε το </w:t>
      </w:r>
      <w:r w:rsidRPr="00106318">
        <w:rPr>
          <w:rFonts w:ascii="Bookman Old Style" w:hAnsi="Bookman Old Style"/>
          <w:b/>
          <w:bCs/>
          <w:i/>
          <w:iCs/>
          <w:sz w:val="22"/>
          <w:szCs w:val="22"/>
          <w:lang w:val="el-GR"/>
        </w:rPr>
        <w:t xml:space="preserve">Άρθρο 5(1) </w:t>
      </w:r>
      <w:r w:rsidRPr="00777355">
        <w:rPr>
          <w:rFonts w:ascii="Bookman Old Style" w:hAnsi="Bookman Old Style"/>
          <w:sz w:val="22"/>
          <w:szCs w:val="22"/>
          <w:lang w:val="el-GR"/>
        </w:rPr>
        <w:t>του</w:t>
      </w:r>
      <w:r w:rsidRPr="00106318">
        <w:rPr>
          <w:rFonts w:ascii="Bookman Old Style" w:hAnsi="Bookman Old Style"/>
          <w:b/>
          <w:bCs/>
          <w:i/>
          <w:iCs/>
          <w:sz w:val="22"/>
          <w:szCs w:val="22"/>
          <w:lang w:val="el-GR"/>
        </w:rPr>
        <w:t xml:space="preserve"> Ν. 14(Ι)/1993</w:t>
      </w:r>
      <w:r w:rsidRPr="00106318">
        <w:rPr>
          <w:rFonts w:ascii="Bookman Old Style" w:hAnsi="Bookman Old Style"/>
          <w:sz w:val="22"/>
          <w:szCs w:val="22"/>
          <w:lang w:val="el-GR"/>
        </w:rPr>
        <w:t>.</w:t>
      </w:r>
    </w:p>
  </w:footnote>
  <w:footnote w:id="3">
    <w:p w14:paraId="7657E23C" w14:textId="77777777" w:rsidR="0096773D" w:rsidRPr="004C3D5F" w:rsidRDefault="0096773D" w:rsidP="0096773D">
      <w:pPr>
        <w:pStyle w:val="FootnoteText"/>
        <w:spacing w:line="276" w:lineRule="auto"/>
        <w:rPr>
          <w:lang w:val="el-GR"/>
        </w:rPr>
      </w:pPr>
      <w:r>
        <w:rPr>
          <w:rStyle w:val="FootnoteReference"/>
        </w:rPr>
        <w:footnoteRef/>
      </w:r>
      <w:r w:rsidRPr="004C3D5F">
        <w:rPr>
          <w:lang w:val="el-GR"/>
        </w:rPr>
        <w:t xml:space="preserve"> </w:t>
      </w:r>
      <w:r>
        <w:rPr>
          <w:lang w:val="el-GR"/>
        </w:rPr>
        <w:t xml:space="preserve"> </w:t>
      </w:r>
      <w:r w:rsidRPr="004C3D5F">
        <w:rPr>
          <w:rFonts w:ascii="Bookman Old Style" w:hAnsi="Bookman Old Style"/>
          <w:sz w:val="22"/>
          <w:szCs w:val="22"/>
          <w:lang w:val="el-GR"/>
        </w:rPr>
        <w:t xml:space="preserve">Δέστε το </w:t>
      </w:r>
      <w:r w:rsidRPr="00D112BB">
        <w:rPr>
          <w:rFonts w:ascii="Bookman Old Style" w:hAnsi="Bookman Old Style"/>
          <w:b/>
          <w:bCs/>
          <w:i/>
          <w:iCs/>
          <w:sz w:val="22"/>
          <w:szCs w:val="22"/>
          <w:lang w:val="el-GR"/>
        </w:rPr>
        <w:t>Άρθρο 48</w:t>
      </w:r>
      <w:r w:rsidRPr="004C3D5F">
        <w:rPr>
          <w:rFonts w:ascii="Bookman Old Style" w:hAnsi="Bookman Old Style"/>
          <w:sz w:val="22"/>
          <w:szCs w:val="22"/>
          <w:lang w:val="el-GR"/>
        </w:rPr>
        <w:t xml:space="preserve"> του</w:t>
      </w:r>
      <w:r w:rsidRPr="004C3D5F">
        <w:rPr>
          <w:rFonts w:ascii="Bookman Old Style" w:hAnsi="Bookman Old Style"/>
          <w:b/>
          <w:bCs/>
          <w:i/>
          <w:iCs/>
          <w:sz w:val="22"/>
          <w:szCs w:val="22"/>
          <w:lang w:val="el-GR"/>
        </w:rPr>
        <w:t xml:space="preserve"> Ν. 14(Ι)/1993</w:t>
      </w:r>
      <w:r w:rsidRPr="004C3D5F">
        <w:rPr>
          <w:rFonts w:ascii="Bookman Old Style" w:hAnsi="Bookman Old Style"/>
          <w:sz w:val="22"/>
          <w:szCs w:val="22"/>
          <w:lang w:val="el-GR"/>
        </w:rPr>
        <w:t>.</w:t>
      </w:r>
    </w:p>
  </w:footnote>
  <w:footnote w:id="4">
    <w:p w14:paraId="0181039E" w14:textId="63BC20D5" w:rsidR="0096773D" w:rsidRPr="003000D5" w:rsidRDefault="0096773D" w:rsidP="0096773D">
      <w:pPr>
        <w:pStyle w:val="Heading1"/>
        <w:spacing w:before="0" w:after="0" w:line="276" w:lineRule="auto"/>
        <w:jc w:val="both"/>
        <w:rPr>
          <w:lang w:val="el-GR"/>
        </w:rPr>
      </w:pPr>
      <w:r w:rsidRPr="004C3D5F">
        <w:rPr>
          <w:rStyle w:val="FootnoteReference"/>
          <w:rFonts w:ascii="Bookman Old Style" w:hAnsi="Bookman Old Style"/>
          <w:sz w:val="22"/>
          <w:szCs w:val="22"/>
        </w:rPr>
        <w:footnoteRef/>
      </w:r>
      <w:r>
        <w:rPr>
          <w:rFonts w:ascii="Bookman Old Style" w:hAnsi="Bookman Old Style"/>
          <w:sz w:val="22"/>
          <w:szCs w:val="22"/>
          <w:lang w:val="el-GR"/>
        </w:rPr>
        <w:t xml:space="preserve"> </w:t>
      </w:r>
      <w:r w:rsidRPr="004C3D5F">
        <w:rPr>
          <w:rFonts w:ascii="Bookman Old Style" w:hAnsi="Bookman Old Style"/>
          <w:b w:val="0"/>
          <w:bCs w:val="0"/>
          <w:sz w:val="22"/>
          <w:szCs w:val="22"/>
          <w:lang w:val="el-GR"/>
        </w:rPr>
        <w:t xml:space="preserve">Δέστε το </w:t>
      </w:r>
      <w:r w:rsidRPr="004C3D5F">
        <w:rPr>
          <w:rFonts w:ascii="Bookman Old Style" w:hAnsi="Bookman Old Style"/>
          <w:i/>
          <w:iCs/>
          <w:sz w:val="22"/>
          <w:szCs w:val="22"/>
          <w:lang w:val="el-GR"/>
        </w:rPr>
        <w:t xml:space="preserve">Άρθρο </w:t>
      </w:r>
      <w:r>
        <w:rPr>
          <w:rFonts w:ascii="Bookman Old Style" w:hAnsi="Bookman Old Style"/>
          <w:i/>
          <w:iCs/>
          <w:sz w:val="22"/>
          <w:szCs w:val="22"/>
          <w:lang w:val="el-GR"/>
        </w:rPr>
        <w:t>3</w:t>
      </w:r>
      <w:r w:rsidRPr="004C3D5F">
        <w:rPr>
          <w:rFonts w:ascii="Bookman Old Style" w:hAnsi="Bookman Old Style"/>
          <w:b w:val="0"/>
          <w:bCs w:val="0"/>
          <w:sz w:val="22"/>
          <w:szCs w:val="22"/>
          <w:lang w:val="el-GR"/>
        </w:rPr>
        <w:t xml:space="preserve"> του </w:t>
      </w:r>
      <w:r w:rsidRPr="003000D5">
        <w:rPr>
          <w:rFonts w:ascii="Bookman Old Style" w:hAnsi="Bookman Old Style"/>
          <w:i/>
          <w:iCs/>
          <w:kern w:val="36"/>
          <w:sz w:val="22"/>
          <w:szCs w:val="22"/>
          <w:lang w:val="el-GR"/>
        </w:rPr>
        <w:t xml:space="preserve">περί Αξιών και </w:t>
      </w:r>
      <w:proofErr w:type="spellStart"/>
      <w:r w:rsidRPr="003000D5">
        <w:rPr>
          <w:rFonts w:ascii="Bookman Old Style" w:hAnsi="Bookman Old Style"/>
          <w:i/>
          <w:iCs/>
          <w:kern w:val="36"/>
          <w:sz w:val="22"/>
          <w:szCs w:val="22"/>
          <w:lang w:val="el-GR"/>
        </w:rPr>
        <w:t>Χρηματιστηρί</w:t>
      </w:r>
      <w:proofErr w:type="spellEnd"/>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 xml:space="preserve">υ Αξιών </w:t>
      </w:r>
      <w:proofErr w:type="spellStart"/>
      <w:r w:rsidRPr="003000D5">
        <w:rPr>
          <w:rFonts w:ascii="Bookman Old Style" w:hAnsi="Bookman Old Style"/>
          <w:i/>
          <w:iCs/>
          <w:kern w:val="36"/>
          <w:sz w:val="22"/>
          <w:szCs w:val="22"/>
          <w:lang w:val="el-GR"/>
        </w:rPr>
        <w:t>Κύπρ</w:t>
      </w:r>
      <w:proofErr w:type="spellEnd"/>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 xml:space="preserve">υ (Κεντρικό </w:t>
      </w:r>
      <w:r w:rsidR="003F3E5F">
        <w:rPr>
          <w:rFonts w:ascii="Bookman Old Style" w:hAnsi="Bookman Old Style"/>
          <w:i/>
          <w:iCs/>
          <w:kern w:val="36"/>
          <w:sz w:val="22"/>
          <w:szCs w:val="22"/>
          <w:lang w:val="el-GR"/>
        </w:rPr>
        <w:t xml:space="preserve">  </w:t>
      </w:r>
      <w:proofErr w:type="spellStart"/>
      <w:r w:rsidRPr="003000D5">
        <w:rPr>
          <w:rFonts w:ascii="Bookman Old Style" w:hAnsi="Bookman Old Style"/>
          <w:i/>
          <w:iCs/>
          <w:kern w:val="36"/>
          <w:sz w:val="22"/>
          <w:szCs w:val="22"/>
          <w:lang w:val="el-GR"/>
        </w:rPr>
        <w:t>Απ</w:t>
      </w:r>
      <w:proofErr w:type="spellEnd"/>
      <w:r w:rsidRPr="004C3D5F">
        <w:rPr>
          <w:rFonts w:ascii="Bookman Old Style" w:hAnsi="Bookman Old Style"/>
          <w:i/>
          <w:iCs/>
          <w:kern w:val="36"/>
          <w:sz w:val="22"/>
          <w:szCs w:val="22"/>
        </w:rPr>
        <w:t>o</w:t>
      </w:r>
      <w:proofErr w:type="spellStart"/>
      <w:r w:rsidRPr="003000D5">
        <w:rPr>
          <w:rFonts w:ascii="Bookman Old Style" w:hAnsi="Bookman Old Style"/>
          <w:i/>
          <w:iCs/>
          <w:kern w:val="36"/>
          <w:sz w:val="22"/>
          <w:szCs w:val="22"/>
          <w:lang w:val="el-GR"/>
        </w:rPr>
        <w:t>θετήρι</w:t>
      </w:r>
      <w:proofErr w:type="spellEnd"/>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 xml:space="preserve"> και Κεντρικό </w:t>
      </w:r>
      <w:proofErr w:type="spellStart"/>
      <w:r w:rsidRPr="003000D5">
        <w:rPr>
          <w:rFonts w:ascii="Bookman Old Style" w:hAnsi="Bookman Old Style"/>
          <w:i/>
          <w:iCs/>
          <w:kern w:val="36"/>
          <w:sz w:val="22"/>
          <w:szCs w:val="22"/>
          <w:lang w:val="el-GR"/>
        </w:rPr>
        <w:t>Μητρώ</w:t>
      </w:r>
      <w:proofErr w:type="spellEnd"/>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 xml:space="preserve"> Αξιών) </w:t>
      </w:r>
      <w:proofErr w:type="spellStart"/>
      <w:r w:rsidRPr="003000D5">
        <w:rPr>
          <w:rFonts w:ascii="Bookman Old Style" w:hAnsi="Bookman Old Style"/>
          <w:i/>
          <w:iCs/>
          <w:kern w:val="36"/>
          <w:sz w:val="22"/>
          <w:szCs w:val="22"/>
          <w:lang w:val="el-GR"/>
        </w:rPr>
        <w:t>Νόμ</w:t>
      </w:r>
      <w:proofErr w:type="spellEnd"/>
      <w:r w:rsidRPr="004C3D5F">
        <w:rPr>
          <w:rFonts w:ascii="Bookman Old Style" w:hAnsi="Bookman Old Style"/>
          <w:i/>
          <w:iCs/>
          <w:kern w:val="36"/>
          <w:sz w:val="22"/>
          <w:szCs w:val="22"/>
        </w:rPr>
        <w:t>o</w:t>
      </w:r>
      <w:r w:rsidR="003F3E5F">
        <w:rPr>
          <w:rFonts w:ascii="Bookman Old Style" w:hAnsi="Bookman Old Style"/>
          <w:i/>
          <w:iCs/>
          <w:kern w:val="36"/>
          <w:sz w:val="22"/>
          <w:szCs w:val="22"/>
          <w:lang w:val="el-GR"/>
        </w:rPr>
        <w:t>υ</w:t>
      </w:r>
      <w:r w:rsidRPr="003000D5">
        <w:rPr>
          <w:rFonts w:ascii="Bookman Old Style" w:hAnsi="Bookman Old Style"/>
          <w:i/>
          <w:iCs/>
          <w:kern w:val="36"/>
          <w:sz w:val="22"/>
          <w:szCs w:val="22"/>
          <w:lang w:val="el-GR"/>
        </w:rPr>
        <w:t xml:space="preserve"> τ</w:t>
      </w:r>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υ 1996</w:t>
      </w:r>
      <w:r w:rsidRPr="004C3D5F">
        <w:rPr>
          <w:rFonts w:ascii="Bookman Old Style" w:hAnsi="Bookman Old Style"/>
          <w:i/>
          <w:iCs/>
          <w:kern w:val="36"/>
          <w:sz w:val="22"/>
          <w:szCs w:val="22"/>
          <w:lang w:val="el-GR"/>
        </w:rPr>
        <w:t>, Ν.</w:t>
      </w:r>
      <w:r w:rsidR="003F3E5F">
        <w:rPr>
          <w:rFonts w:ascii="Bookman Old Style" w:hAnsi="Bookman Old Style"/>
          <w:i/>
          <w:iCs/>
          <w:kern w:val="36"/>
          <w:sz w:val="22"/>
          <w:szCs w:val="22"/>
          <w:lang w:val="el-GR"/>
        </w:rPr>
        <w:t xml:space="preserve"> </w:t>
      </w:r>
      <w:r w:rsidRPr="003000D5">
        <w:rPr>
          <w:rFonts w:ascii="Bookman Old Style" w:hAnsi="Bookman Old Style"/>
          <w:i/>
          <w:iCs/>
          <w:kern w:val="36"/>
          <w:sz w:val="22"/>
          <w:szCs w:val="22"/>
          <w:lang w:val="el-GR"/>
        </w:rPr>
        <w:t>27(</w:t>
      </w:r>
      <w:r w:rsidRPr="004C3D5F">
        <w:rPr>
          <w:rFonts w:ascii="Bookman Old Style" w:hAnsi="Bookman Old Style"/>
          <w:i/>
          <w:iCs/>
          <w:kern w:val="36"/>
          <w:sz w:val="22"/>
          <w:szCs w:val="22"/>
        </w:rPr>
        <w:t>I</w:t>
      </w:r>
      <w:r w:rsidRPr="003000D5">
        <w:rPr>
          <w:rFonts w:ascii="Bookman Old Style" w:hAnsi="Bookman Old Style"/>
          <w:i/>
          <w:iCs/>
          <w:kern w:val="36"/>
          <w:sz w:val="22"/>
          <w:szCs w:val="22"/>
          <w:lang w:val="el-GR"/>
        </w:rPr>
        <w:t>)/1996</w:t>
      </w:r>
      <w:r>
        <w:rPr>
          <w:rFonts w:ascii="Bookman Old Style" w:hAnsi="Bookman Old Style"/>
          <w:b w:val="0"/>
          <w:bCs w:val="0"/>
          <w:kern w:val="36"/>
          <w:sz w:val="22"/>
          <w:szCs w:val="22"/>
          <w:lang w:val="el-GR"/>
        </w:rPr>
        <w:t>.</w:t>
      </w:r>
    </w:p>
  </w:footnote>
  <w:footnote w:id="5">
    <w:p w14:paraId="4D7481EA" w14:textId="479FECED" w:rsidR="0096773D" w:rsidRPr="004C3D5F" w:rsidRDefault="0096773D" w:rsidP="0096773D">
      <w:pPr>
        <w:pStyle w:val="Heading1"/>
        <w:spacing w:before="0" w:after="0" w:line="276" w:lineRule="auto"/>
        <w:jc w:val="both"/>
        <w:rPr>
          <w:rFonts w:ascii="Bookman Old Style" w:hAnsi="Bookman Old Style"/>
          <w:b w:val="0"/>
          <w:bCs w:val="0"/>
          <w:kern w:val="36"/>
          <w:sz w:val="22"/>
          <w:szCs w:val="22"/>
          <w:lang w:val="el-GR"/>
        </w:rPr>
      </w:pPr>
      <w:r w:rsidRPr="001C5386">
        <w:rPr>
          <w:rStyle w:val="FootnoteReference"/>
          <w:rFonts w:ascii="Bookman Old Style" w:hAnsi="Bookman Old Style"/>
          <w:sz w:val="22"/>
          <w:szCs w:val="22"/>
        </w:rPr>
        <w:footnoteRef/>
      </w:r>
      <w:r w:rsidRPr="001C5386">
        <w:rPr>
          <w:rFonts w:ascii="Bookman Old Style" w:hAnsi="Bookman Old Style"/>
          <w:sz w:val="22"/>
          <w:szCs w:val="22"/>
          <w:lang w:val="el-GR"/>
        </w:rPr>
        <w:t xml:space="preserve"> </w:t>
      </w:r>
      <w:r w:rsidRPr="004C3D5F">
        <w:rPr>
          <w:rFonts w:ascii="Bookman Old Style" w:hAnsi="Bookman Old Style"/>
          <w:b w:val="0"/>
          <w:bCs w:val="0"/>
          <w:sz w:val="22"/>
          <w:szCs w:val="22"/>
          <w:lang w:val="el-GR"/>
        </w:rPr>
        <w:t xml:space="preserve">Δέστε το </w:t>
      </w:r>
      <w:r w:rsidRPr="004C3D5F">
        <w:rPr>
          <w:rFonts w:ascii="Bookman Old Style" w:hAnsi="Bookman Old Style"/>
          <w:i/>
          <w:iCs/>
          <w:sz w:val="22"/>
          <w:szCs w:val="22"/>
          <w:lang w:val="el-GR"/>
        </w:rPr>
        <w:t>Άρθρο 5(1)</w:t>
      </w:r>
      <w:r w:rsidRPr="004C3D5F">
        <w:rPr>
          <w:rFonts w:ascii="Bookman Old Style" w:hAnsi="Bookman Old Style"/>
          <w:b w:val="0"/>
          <w:bCs w:val="0"/>
          <w:sz w:val="22"/>
          <w:szCs w:val="22"/>
          <w:lang w:val="el-GR"/>
        </w:rPr>
        <w:t xml:space="preserve"> του </w:t>
      </w:r>
      <w:r w:rsidRPr="003000D5">
        <w:rPr>
          <w:rFonts w:ascii="Bookman Old Style" w:hAnsi="Bookman Old Style"/>
          <w:i/>
          <w:iCs/>
          <w:kern w:val="36"/>
          <w:sz w:val="22"/>
          <w:szCs w:val="22"/>
          <w:lang w:val="el-GR"/>
        </w:rPr>
        <w:t xml:space="preserve">περί Αξιών και </w:t>
      </w:r>
      <w:proofErr w:type="spellStart"/>
      <w:r w:rsidRPr="003000D5">
        <w:rPr>
          <w:rFonts w:ascii="Bookman Old Style" w:hAnsi="Bookman Old Style"/>
          <w:i/>
          <w:iCs/>
          <w:kern w:val="36"/>
          <w:sz w:val="22"/>
          <w:szCs w:val="22"/>
          <w:lang w:val="el-GR"/>
        </w:rPr>
        <w:t>Χρηματιστηρί</w:t>
      </w:r>
      <w:proofErr w:type="spellEnd"/>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 xml:space="preserve">υ Αξιών </w:t>
      </w:r>
      <w:proofErr w:type="spellStart"/>
      <w:r w:rsidRPr="003000D5">
        <w:rPr>
          <w:rFonts w:ascii="Bookman Old Style" w:hAnsi="Bookman Old Style"/>
          <w:i/>
          <w:iCs/>
          <w:kern w:val="36"/>
          <w:sz w:val="22"/>
          <w:szCs w:val="22"/>
          <w:lang w:val="el-GR"/>
        </w:rPr>
        <w:t>Κύπρ</w:t>
      </w:r>
      <w:proofErr w:type="spellEnd"/>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 xml:space="preserve">υ (Κεντρικό </w:t>
      </w:r>
      <w:proofErr w:type="spellStart"/>
      <w:r w:rsidRPr="003000D5">
        <w:rPr>
          <w:rFonts w:ascii="Bookman Old Style" w:hAnsi="Bookman Old Style"/>
          <w:i/>
          <w:iCs/>
          <w:kern w:val="36"/>
          <w:sz w:val="22"/>
          <w:szCs w:val="22"/>
          <w:lang w:val="el-GR"/>
        </w:rPr>
        <w:t>Απ</w:t>
      </w:r>
      <w:proofErr w:type="spellEnd"/>
      <w:r w:rsidRPr="004C3D5F">
        <w:rPr>
          <w:rFonts w:ascii="Bookman Old Style" w:hAnsi="Bookman Old Style"/>
          <w:i/>
          <w:iCs/>
          <w:kern w:val="36"/>
          <w:sz w:val="22"/>
          <w:szCs w:val="22"/>
        </w:rPr>
        <w:t>o</w:t>
      </w:r>
      <w:proofErr w:type="spellStart"/>
      <w:r w:rsidRPr="003000D5">
        <w:rPr>
          <w:rFonts w:ascii="Bookman Old Style" w:hAnsi="Bookman Old Style"/>
          <w:i/>
          <w:iCs/>
          <w:kern w:val="36"/>
          <w:sz w:val="22"/>
          <w:szCs w:val="22"/>
          <w:lang w:val="el-GR"/>
        </w:rPr>
        <w:t>θετήρι</w:t>
      </w:r>
      <w:proofErr w:type="spellEnd"/>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 xml:space="preserve"> και Κεντρικό </w:t>
      </w:r>
      <w:proofErr w:type="spellStart"/>
      <w:r w:rsidRPr="003000D5">
        <w:rPr>
          <w:rFonts w:ascii="Bookman Old Style" w:hAnsi="Bookman Old Style"/>
          <w:i/>
          <w:iCs/>
          <w:kern w:val="36"/>
          <w:sz w:val="22"/>
          <w:szCs w:val="22"/>
          <w:lang w:val="el-GR"/>
        </w:rPr>
        <w:t>Μητρώ</w:t>
      </w:r>
      <w:proofErr w:type="spellEnd"/>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 xml:space="preserve"> Αξιών) </w:t>
      </w:r>
      <w:proofErr w:type="spellStart"/>
      <w:r w:rsidRPr="003000D5">
        <w:rPr>
          <w:rFonts w:ascii="Bookman Old Style" w:hAnsi="Bookman Old Style"/>
          <w:i/>
          <w:iCs/>
          <w:kern w:val="36"/>
          <w:sz w:val="22"/>
          <w:szCs w:val="22"/>
          <w:lang w:val="el-GR"/>
        </w:rPr>
        <w:t>Νόμ</w:t>
      </w:r>
      <w:proofErr w:type="spellEnd"/>
      <w:r w:rsidRPr="004C3D5F">
        <w:rPr>
          <w:rFonts w:ascii="Bookman Old Style" w:hAnsi="Bookman Old Style"/>
          <w:i/>
          <w:iCs/>
          <w:kern w:val="36"/>
          <w:sz w:val="22"/>
          <w:szCs w:val="22"/>
        </w:rPr>
        <w:t>o</w:t>
      </w:r>
      <w:r w:rsidR="003F3E5F">
        <w:rPr>
          <w:rFonts w:ascii="Bookman Old Style" w:hAnsi="Bookman Old Style"/>
          <w:i/>
          <w:iCs/>
          <w:kern w:val="36"/>
          <w:sz w:val="22"/>
          <w:szCs w:val="22"/>
          <w:lang w:val="el-GR"/>
        </w:rPr>
        <w:t>υ</w:t>
      </w:r>
      <w:r w:rsidRPr="003000D5">
        <w:rPr>
          <w:rFonts w:ascii="Bookman Old Style" w:hAnsi="Bookman Old Style"/>
          <w:i/>
          <w:iCs/>
          <w:kern w:val="36"/>
          <w:sz w:val="22"/>
          <w:szCs w:val="22"/>
          <w:lang w:val="el-GR"/>
        </w:rPr>
        <w:t xml:space="preserve"> τ</w:t>
      </w:r>
      <w:r w:rsidRPr="004C3D5F">
        <w:rPr>
          <w:rFonts w:ascii="Bookman Old Style" w:hAnsi="Bookman Old Style"/>
          <w:i/>
          <w:iCs/>
          <w:kern w:val="36"/>
          <w:sz w:val="22"/>
          <w:szCs w:val="22"/>
        </w:rPr>
        <w:t>o</w:t>
      </w:r>
      <w:r w:rsidRPr="003000D5">
        <w:rPr>
          <w:rFonts w:ascii="Bookman Old Style" w:hAnsi="Bookman Old Style"/>
          <w:i/>
          <w:iCs/>
          <w:kern w:val="36"/>
          <w:sz w:val="22"/>
          <w:szCs w:val="22"/>
          <w:lang w:val="el-GR"/>
        </w:rPr>
        <w:t>υ 1996</w:t>
      </w:r>
      <w:r w:rsidRPr="004C3D5F">
        <w:rPr>
          <w:rFonts w:ascii="Bookman Old Style" w:hAnsi="Bookman Old Style"/>
          <w:i/>
          <w:iCs/>
          <w:kern w:val="36"/>
          <w:sz w:val="22"/>
          <w:szCs w:val="22"/>
          <w:lang w:val="el-GR"/>
        </w:rPr>
        <w:t>, Ν.</w:t>
      </w:r>
      <w:r w:rsidR="003F3E5F">
        <w:rPr>
          <w:rFonts w:ascii="Bookman Old Style" w:hAnsi="Bookman Old Style"/>
          <w:i/>
          <w:iCs/>
          <w:kern w:val="36"/>
          <w:sz w:val="22"/>
          <w:szCs w:val="22"/>
          <w:lang w:val="el-GR"/>
        </w:rPr>
        <w:t xml:space="preserve"> </w:t>
      </w:r>
      <w:r w:rsidRPr="003000D5">
        <w:rPr>
          <w:rFonts w:ascii="Bookman Old Style" w:hAnsi="Bookman Old Style"/>
          <w:i/>
          <w:iCs/>
          <w:kern w:val="36"/>
          <w:sz w:val="22"/>
          <w:szCs w:val="22"/>
          <w:lang w:val="el-GR"/>
        </w:rPr>
        <w:t>27(</w:t>
      </w:r>
      <w:r w:rsidRPr="004C3D5F">
        <w:rPr>
          <w:rFonts w:ascii="Bookman Old Style" w:hAnsi="Bookman Old Style"/>
          <w:i/>
          <w:iCs/>
          <w:kern w:val="36"/>
          <w:sz w:val="22"/>
          <w:szCs w:val="22"/>
        </w:rPr>
        <w:t>I</w:t>
      </w:r>
      <w:r w:rsidRPr="003000D5">
        <w:rPr>
          <w:rFonts w:ascii="Bookman Old Style" w:hAnsi="Bookman Old Style"/>
          <w:i/>
          <w:iCs/>
          <w:kern w:val="36"/>
          <w:sz w:val="22"/>
          <w:szCs w:val="22"/>
          <w:lang w:val="el-GR"/>
        </w:rPr>
        <w:t>)/1996</w:t>
      </w:r>
      <w:r>
        <w:rPr>
          <w:rFonts w:ascii="Bookman Old Style" w:hAnsi="Bookman Old Style"/>
          <w:b w:val="0"/>
          <w:bCs w:val="0"/>
          <w:kern w:val="36"/>
          <w:sz w:val="22"/>
          <w:szCs w:val="22"/>
          <w:lang w:val="el-GR"/>
        </w:rPr>
        <w:t>.</w:t>
      </w:r>
    </w:p>
    <w:p w14:paraId="09A8CCB9" w14:textId="77777777" w:rsidR="0096773D" w:rsidRPr="003000D5" w:rsidRDefault="0096773D" w:rsidP="0096773D">
      <w:pPr>
        <w:pStyle w:val="FootnoteText"/>
        <w:spacing w:line="276" w:lineRule="auto"/>
        <w:jc w:val="both"/>
        <w:rPr>
          <w:rFonts w:ascii="Bookman Old Style" w:hAnsi="Bookman Old Style"/>
          <w:sz w:val="22"/>
          <w:szCs w:val="22"/>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8490" w14:textId="791C1765" w:rsidR="004C2EEA" w:rsidRDefault="00C326A1">
    <w:pPr>
      <w:pStyle w:val="Header"/>
      <w:jc w:val="center"/>
    </w:pPr>
    <w:r>
      <w:fldChar w:fldCharType="begin"/>
    </w:r>
    <w:r>
      <w:instrText xml:space="preserve"> PAGE   \* MERGEFORMAT </w:instrText>
    </w:r>
    <w:r>
      <w:fldChar w:fldCharType="separate"/>
    </w:r>
    <w:r w:rsidR="00A2668F">
      <w:rPr>
        <w:noProof/>
      </w:rPr>
      <w:t>16</w:t>
    </w:r>
    <w:r>
      <w:fldChar w:fldCharType="end"/>
    </w:r>
  </w:p>
  <w:p w14:paraId="60645A5B" w14:textId="77777777" w:rsidR="004C2EEA" w:rsidRDefault="004C2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3D"/>
    <w:rsid w:val="0018265B"/>
    <w:rsid w:val="0024647F"/>
    <w:rsid w:val="00287208"/>
    <w:rsid w:val="002B4B59"/>
    <w:rsid w:val="003000D5"/>
    <w:rsid w:val="00355588"/>
    <w:rsid w:val="0036525D"/>
    <w:rsid w:val="003A3CD6"/>
    <w:rsid w:val="003F3E5F"/>
    <w:rsid w:val="003F3EE2"/>
    <w:rsid w:val="004C2EEA"/>
    <w:rsid w:val="0065678F"/>
    <w:rsid w:val="006A75C6"/>
    <w:rsid w:val="006C2CF1"/>
    <w:rsid w:val="00777355"/>
    <w:rsid w:val="007C523C"/>
    <w:rsid w:val="007D2F9D"/>
    <w:rsid w:val="007E0DD6"/>
    <w:rsid w:val="008517AA"/>
    <w:rsid w:val="008531C5"/>
    <w:rsid w:val="008875F1"/>
    <w:rsid w:val="008A3DD0"/>
    <w:rsid w:val="00914DCA"/>
    <w:rsid w:val="0096773D"/>
    <w:rsid w:val="00A2668F"/>
    <w:rsid w:val="00A92666"/>
    <w:rsid w:val="00AD7DE0"/>
    <w:rsid w:val="00BF3D84"/>
    <w:rsid w:val="00C326A1"/>
    <w:rsid w:val="00CA5A35"/>
    <w:rsid w:val="00CD4058"/>
    <w:rsid w:val="00DA4B24"/>
    <w:rsid w:val="00DE0E19"/>
    <w:rsid w:val="00E7122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CB2"/>
  <w15:chartTrackingRefBased/>
  <w15:docId w15:val="{BEFD7E89-A76A-4BAF-B368-947A641A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3D"/>
    <w:pPr>
      <w:spacing w:after="0" w:line="240" w:lineRule="auto"/>
    </w:pPr>
    <w:rPr>
      <w:rFonts w:ascii="Times New Roman" w:eastAsia="Times New Roman" w:hAnsi="Times New Roman" w:cs="Times New Roman"/>
      <w:kern w:val="0"/>
      <w:sz w:val="24"/>
      <w:szCs w:val="24"/>
      <w:lang w:val="en-GB"/>
    </w:rPr>
  </w:style>
  <w:style w:type="paragraph" w:styleId="Heading1">
    <w:name w:val="heading 1"/>
    <w:basedOn w:val="Normal"/>
    <w:next w:val="Normal"/>
    <w:link w:val="Heading1Char"/>
    <w:uiPriority w:val="9"/>
    <w:qFormat/>
    <w:rsid w:val="0096773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73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96773D"/>
    <w:pPr>
      <w:tabs>
        <w:tab w:val="center" w:pos="4320"/>
        <w:tab w:val="right" w:pos="8640"/>
      </w:tabs>
    </w:pPr>
  </w:style>
  <w:style w:type="character" w:customStyle="1" w:styleId="HeaderChar">
    <w:name w:val="Header Char"/>
    <w:basedOn w:val="DefaultParagraphFont"/>
    <w:link w:val="Header"/>
    <w:uiPriority w:val="99"/>
    <w:rsid w:val="0096773D"/>
    <w:rPr>
      <w:rFonts w:ascii="Times New Roman" w:eastAsia="Times New Roman" w:hAnsi="Times New Roman" w:cs="Times New Roman"/>
      <w:kern w:val="0"/>
      <w:sz w:val="24"/>
      <w:szCs w:val="24"/>
      <w:lang w:val="en-GB"/>
    </w:rPr>
  </w:style>
  <w:style w:type="paragraph" w:styleId="FootnoteText">
    <w:name w:val="footnote text"/>
    <w:basedOn w:val="Normal"/>
    <w:link w:val="FootnoteTextChar"/>
    <w:uiPriority w:val="99"/>
    <w:semiHidden/>
    <w:unhideWhenUsed/>
    <w:rsid w:val="0096773D"/>
    <w:rPr>
      <w:sz w:val="20"/>
      <w:szCs w:val="20"/>
    </w:rPr>
  </w:style>
  <w:style w:type="character" w:customStyle="1" w:styleId="FootnoteTextChar">
    <w:name w:val="Footnote Text Char"/>
    <w:basedOn w:val="DefaultParagraphFont"/>
    <w:link w:val="FootnoteText"/>
    <w:uiPriority w:val="99"/>
    <w:semiHidden/>
    <w:rsid w:val="0096773D"/>
    <w:rPr>
      <w:rFonts w:ascii="Times New Roman" w:eastAsia="Times New Roman" w:hAnsi="Times New Roman" w:cs="Times New Roman"/>
      <w:kern w:val="0"/>
      <w:sz w:val="20"/>
      <w:szCs w:val="20"/>
      <w:lang w:val="en-GB"/>
    </w:rPr>
  </w:style>
  <w:style w:type="character" w:styleId="FootnoteReference">
    <w:name w:val="footnote reference"/>
    <w:uiPriority w:val="99"/>
    <w:semiHidden/>
    <w:unhideWhenUsed/>
    <w:rsid w:val="00967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Marilia Hadjiprodromou</cp:lastModifiedBy>
  <cp:revision>6</cp:revision>
  <cp:lastPrinted>2023-11-06T08:44:00Z</cp:lastPrinted>
  <dcterms:created xsi:type="dcterms:W3CDTF">2023-11-10T06:12:00Z</dcterms:created>
  <dcterms:modified xsi:type="dcterms:W3CDTF">2023-11-10T06:18:00Z</dcterms:modified>
</cp:coreProperties>
</file>